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E9EB" w14:textId="07544384" w:rsidR="00EC706E" w:rsidRPr="00F02332" w:rsidRDefault="00EC706E" w:rsidP="00EC706E">
      <w:pPr>
        <w:keepLines/>
        <w:tabs>
          <w:tab w:val="right" w:pos="10440"/>
          <w:tab w:val="right" w:pos="13323"/>
        </w:tabs>
        <w:spacing w:before="60" w:after="60" w:line="240" w:lineRule="auto"/>
        <w:rPr>
          <w:rFonts w:eastAsia="SimSun" w:cstheme="minorHAnsi"/>
          <w:b/>
          <w:color w:val="FF0000"/>
          <w:sz w:val="24"/>
          <w:szCs w:val="24"/>
          <w:lang w:eastAsia="zh-CN"/>
        </w:rPr>
      </w:pPr>
      <w:bookmarkStart w:id="0" w:name="Title"/>
      <w:bookmarkStart w:id="1" w:name="DocumentFor"/>
      <w:bookmarkEnd w:id="0"/>
      <w:bookmarkEnd w:id="1"/>
      <w:r w:rsidRPr="00F04FD1">
        <w:rPr>
          <w:rFonts w:eastAsia="MS Mincho" w:cstheme="minorHAnsi"/>
          <w:b/>
          <w:sz w:val="24"/>
          <w:szCs w:val="24"/>
        </w:rPr>
        <w:t>3GPP TSG-RAN WG4 Meeting #</w:t>
      </w:r>
      <w:r w:rsidRPr="00F04FD1">
        <w:rPr>
          <w:rFonts w:eastAsia="MS Mincho" w:cstheme="minorHAnsi"/>
          <w:sz w:val="20"/>
          <w:szCs w:val="20"/>
        </w:rPr>
        <w:t xml:space="preserve"> </w:t>
      </w:r>
      <w:r w:rsidRPr="00F04FD1">
        <w:rPr>
          <w:rFonts w:eastAsia="MS Mincho" w:cstheme="minorHAnsi"/>
          <w:b/>
          <w:sz w:val="24"/>
          <w:szCs w:val="24"/>
        </w:rPr>
        <w:t>10</w:t>
      </w:r>
      <w:r w:rsidR="002B2E6D">
        <w:rPr>
          <w:rFonts w:eastAsia="MS Mincho" w:cstheme="minorHAnsi"/>
          <w:b/>
          <w:sz w:val="24"/>
          <w:szCs w:val="24"/>
        </w:rPr>
        <w:t>8</w:t>
      </w:r>
      <w:r w:rsidRPr="00F04FD1">
        <w:rPr>
          <w:rFonts w:eastAsia="MS Mincho" w:cstheme="minorHAnsi"/>
          <w:b/>
          <w:sz w:val="24"/>
          <w:szCs w:val="24"/>
        </w:rPr>
        <w:tab/>
      </w:r>
      <w:r w:rsidR="00CB1ED5" w:rsidRPr="00CB1ED5">
        <w:rPr>
          <w:rFonts w:eastAsia="MS Mincho" w:cstheme="minorHAnsi"/>
          <w:b/>
          <w:sz w:val="24"/>
          <w:szCs w:val="24"/>
        </w:rPr>
        <w:t>R4-2312497</w:t>
      </w:r>
    </w:p>
    <w:p w14:paraId="07EC9144" w14:textId="10089C92" w:rsidR="00FB277C" w:rsidRDefault="0005576C" w:rsidP="00FB277C">
      <w:pPr>
        <w:widowControl w:val="0"/>
        <w:tabs>
          <w:tab w:val="left" w:pos="8190"/>
        </w:tabs>
        <w:spacing w:after="0" w:line="240" w:lineRule="auto"/>
        <w:rPr>
          <w:rFonts w:eastAsia="SimSun" w:cstheme="minorHAnsi"/>
          <w:b/>
          <w:sz w:val="24"/>
          <w:szCs w:val="24"/>
          <w:lang w:eastAsia="zh-CN"/>
        </w:rPr>
      </w:pPr>
      <w:r w:rsidRPr="0005576C">
        <w:rPr>
          <w:rFonts w:eastAsia="SimSun" w:cstheme="minorHAnsi"/>
          <w:b/>
          <w:sz w:val="24"/>
          <w:szCs w:val="24"/>
          <w:lang w:eastAsia="zh-CN"/>
        </w:rPr>
        <w:t>Toulouse, France, 21st Aug 2023 - 25th Aug 2023</w:t>
      </w:r>
    </w:p>
    <w:p w14:paraId="31E346EE" w14:textId="77777777" w:rsidR="00024141" w:rsidRPr="00F04FD1" w:rsidRDefault="00024141"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F04FD1" w:rsidRDefault="00FB277C" w:rsidP="00FB277C">
      <w:pPr>
        <w:tabs>
          <w:tab w:val="left" w:pos="1985"/>
        </w:tabs>
        <w:spacing w:line="256" w:lineRule="auto"/>
        <w:rPr>
          <w:rFonts w:eastAsia="Times New Roman" w:cstheme="minorHAnsi"/>
          <w:sz w:val="24"/>
        </w:rPr>
      </w:pPr>
      <w:r w:rsidRPr="00F04FD1">
        <w:rPr>
          <w:rFonts w:eastAsia="Times New Roman" w:cstheme="minorHAnsi"/>
          <w:b/>
          <w:sz w:val="24"/>
        </w:rPr>
        <w:t xml:space="preserve">Source: </w:t>
      </w:r>
      <w:r w:rsidRPr="00F04FD1">
        <w:rPr>
          <w:rFonts w:eastAsia="Times New Roman" w:cstheme="minorHAnsi"/>
          <w:b/>
          <w:sz w:val="24"/>
        </w:rPr>
        <w:tab/>
      </w:r>
      <w:r w:rsidRPr="00F04FD1">
        <w:rPr>
          <w:rFonts w:eastAsia="Times New Roman" w:cstheme="minorHAnsi"/>
          <w:sz w:val="24"/>
        </w:rPr>
        <w:t>Qualcomm Incorporated</w:t>
      </w:r>
    </w:p>
    <w:p w14:paraId="651BD97F" w14:textId="6421E9BD" w:rsidR="00FB277C" w:rsidRPr="00F04FD1" w:rsidRDefault="00FB277C" w:rsidP="00FB277C">
      <w:pPr>
        <w:tabs>
          <w:tab w:val="left" w:pos="1985"/>
        </w:tabs>
        <w:spacing w:line="256" w:lineRule="auto"/>
        <w:ind w:left="1980" w:hanging="1980"/>
        <w:rPr>
          <w:rFonts w:eastAsia="Times New Roman" w:cstheme="minorHAnsi"/>
          <w:sz w:val="24"/>
          <w:szCs w:val="24"/>
        </w:rPr>
      </w:pPr>
      <w:r w:rsidRPr="00F04FD1">
        <w:rPr>
          <w:rFonts w:eastAsia="Times New Roman" w:cstheme="minorHAnsi"/>
          <w:b/>
          <w:sz w:val="24"/>
        </w:rPr>
        <w:t>Title:</w:t>
      </w:r>
      <w:r w:rsidRPr="00F04FD1">
        <w:rPr>
          <w:rFonts w:eastAsia="Times New Roman" w:cstheme="minorHAnsi"/>
          <w:sz w:val="24"/>
        </w:rPr>
        <w:t xml:space="preserve"> </w:t>
      </w:r>
      <w:r w:rsidRPr="00F04FD1">
        <w:rPr>
          <w:rFonts w:eastAsia="Times New Roman" w:cstheme="minorHAnsi"/>
          <w:sz w:val="24"/>
        </w:rPr>
        <w:tab/>
      </w:r>
      <w:r w:rsidR="00CB1ED5" w:rsidRPr="00CB1ED5">
        <w:rPr>
          <w:rFonts w:eastAsia="Times New Roman" w:cstheme="minorHAnsi"/>
          <w:sz w:val="24"/>
        </w:rPr>
        <w:t>ATG UE Demod General</w:t>
      </w:r>
    </w:p>
    <w:p w14:paraId="7873C4AF" w14:textId="1D040BAE" w:rsidR="00FB277C" w:rsidRPr="00F04FD1" w:rsidRDefault="00FB277C" w:rsidP="00FB277C">
      <w:pPr>
        <w:tabs>
          <w:tab w:val="left" w:pos="1985"/>
        </w:tabs>
        <w:spacing w:line="256" w:lineRule="auto"/>
        <w:ind w:left="1980" w:hanging="1980"/>
        <w:rPr>
          <w:rFonts w:eastAsia="Times New Roman" w:cstheme="minorHAnsi"/>
          <w:sz w:val="24"/>
          <w:szCs w:val="24"/>
        </w:rPr>
      </w:pPr>
      <w:r w:rsidRPr="00F04FD1">
        <w:rPr>
          <w:rFonts w:eastAsia="Times New Roman" w:cstheme="minorHAnsi"/>
          <w:b/>
          <w:sz w:val="24"/>
        </w:rPr>
        <w:t>Agenda item:</w:t>
      </w:r>
      <w:r w:rsidRPr="00F04FD1">
        <w:rPr>
          <w:rFonts w:eastAsia="Times New Roman" w:cstheme="minorHAnsi"/>
          <w:sz w:val="24"/>
        </w:rPr>
        <w:tab/>
      </w:r>
      <w:r w:rsidR="00A85550">
        <w:rPr>
          <w:rFonts w:eastAsia="Times New Roman" w:cstheme="minorHAnsi"/>
          <w:sz w:val="24"/>
        </w:rPr>
        <w:t>8.13.5.1</w:t>
      </w:r>
    </w:p>
    <w:p w14:paraId="37621497" w14:textId="649AF67F" w:rsidR="00AC3BBC" w:rsidRPr="00AC3BBC" w:rsidRDefault="00FB277C" w:rsidP="00FB277C">
      <w:pPr>
        <w:tabs>
          <w:tab w:val="left" w:pos="1985"/>
        </w:tabs>
        <w:spacing w:line="256" w:lineRule="auto"/>
        <w:rPr>
          <w:rFonts w:eastAsia="Times New Roman" w:cstheme="minorHAnsi"/>
          <w:sz w:val="24"/>
        </w:rPr>
      </w:pPr>
      <w:r w:rsidRPr="00F04FD1">
        <w:rPr>
          <w:rFonts w:eastAsia="Times New Roman" w:cstheme="minorHAnsi"/>
          <w:b/>
          <w:sz w:val="24"/>
        </w:rPr>
        <w:t>Document for:</w:t>
      </w:r>
      <w:r w:rsidRPr="00F04FD1">
        <w:rPr>
          <w:rFonts w:eastAsia="Times New Roman" w:cstheme="minorHAnsi"/>
          <w:sz w:val="24"/>
        </w:rPr>
        <w:tab/>
      </w:r>
      <w:r w:rsidR="00AC3BBC">
        <w:rPr>
          <w:rFonts w:eastAsia="Times New Roman" w:cstheme="minorHAnsi"/>
          <w:sz w:val="24"/>
        </w:rPr>
        <w:t>Approval</w:t>
      </w:r>
    </w:p>
    <w:p w14:paraId="11A17B3B" w14:textId="54CF796C" w:rsidR="00FB277C" w:rsidRPr="00F04FD1"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F04FD1">
        <w:rPr>
          <w:rFonts w:eastAsia="Times New Roman" w:cstheme="minorHAnsi"/>
          <w:sz w:val="36"/>
          <w:szCs w:val="20"/>
        </w:rPr>
        <w:t>Introduction</w:t>
      </w:r>
      <w:r w:rsidRPr="00F04FD1">
        <w:rPr>
          <w:rFonts w:eastAsia="Times New Roman" w:cstheme="minorHAnsi"/>
          <w:b/>
          <w:bCs/>
        </w:rPr>
        <w:fldChar w:fldCharType="begin"/>
      </w:r>
      <w:r w:rsidRPr="00F04FD1">
        <w:rPr>
          <w:rFonts w:eastAsia="Times New Roman" w:cstheme="minorHAnsi"/>
          <w:b/>
          <w:bCs/>
        </w:rPr>
        <w:instrText xml:space="preserve"> SEQ Obs \h \r0 </w:instrText>
      </w:r>
      <w:r w:rsidRPr="00F04FD1">
        <w:rPr>
          <w:rFonts w:eastAsia="Times New Roman" w:cstheme="minorHAnsi"/>
          <w:b/>
          <w:bCs/>
        </w:rPr>
        <w:fldChar w:fldCharType="end"/>
      </w:r>
      <w:r w:rsidRPr="00F04FD1">
        <w:rPr>
          <w:rFonts w:eastAsia="Times New Roman" w:cstheme="minorHAnsi"/>
          <w:b/>
          <w:bCs/>
        </w:rPr>
        <w:fldChar w:fldCharType="begin"/>
      </w:r>
      <w:r w:rsidRPr="00F04FD1">
        <w:rPr>
          <w:rFonts w:eastAsia="Times New Roman" w:cstheme="minorHAnsi"/>
          <w:b/>
          <w:bCs/>
        </w:rPr>
        <w:instrText xml:space="preserve"> SEQ Props \h \r0</w:instrText>
      </w:r>
      <w:r w:rsidRPr="00F04FD1">
        <w:rPr>
          <w:rFonts w:eastAsia="Times New Roman" w:cstheme="minorHAnsi"/>
          <w:b/>
          <w:bCs/>
        </w:rPr>
        <w:fldChar w:fldCharType="end"/>
      </w:r>
    </w:p>
    <w:p w14:paraId="4519A72A" w14:textId="5C038F69" w:rsidR="008F7905" w:rsidRPr="00F04FD1" w:rsidRDefault="00AC785E" w:rsidP="0077044D">
      <w:pPr>
        <w:spacing w:line="256" w:lineRule="auto"/>
        <w:rPr>
          <w:rFonts w:eastAsia="Times New Roman" w:cstheme="minorHAnsi"/>
        </w:rPr>
      </w:pPr>
      <w:r w:rsidRPr="00F04FD1">
        <w:rPr>
          <w:rFonts w:eastAsia="Times New Roman" w:cstheme="minorHAnsi"/>
        </w:rPr>
        <w:t xml:space="preserve">In this paper, we </w:t>
      </w:r>
      <w:r w:rsidR="00CF6C9C">
        <w:rPr>
          <w:rFonts w:eastAsia="Times New Roman" w:cstheme="minorHAnsi"/>
        </w:rPr>
        <w:t xml:space="preserve">share our </w:t>
      </w:r>
      <w:r w:rsidRPr="00F04FD1">
        <w:rPr>
          <w:rFonts w:eastAsia="Times New Roman" w:cstheme="minorHAnsi"/>
        </w:rPr>
        <w:t>consideration</w:t>
      </w:r>
      <w:r w:rsidR="00CF6C9C">
        <w:rPr>
          <w:rFonts w:eastAsia="Times New Roman" w:cstheme="minorHAnsi"/>
        </w:rPr>
        <w:t xml:space="preserve">s </w:t>
      </w:r>
      <w:r w:rsidR="00416B6D">
        <w:rPr>
          <w:rFonts w:eastAsia="Times New Roman" w:cstheme="minorHAnsi"/>
        </w:rPr>
        <w:t>regarding ATG general UE Demod Requirements, based on the WF [</w:t>
      </w:r>
      <w:r w:rsidR="004943AF">
        <w:rPr>
          <w:rFonts w:eastAsia="Times New Roman" w:cstheme="minorHAnsi"/>
        </w:rPr>
        <w:t>1</w:t>
      </w:r>
      <w:r w:rsidR="00416B6D">
        <w:rPr>
          <w:rFonts w:eastAsia="Times New Roman" w:cstheme="minorHAnsi"/>
        </w:rPr>
        <w:t>] agreed in RAN4 #107.</w:t>
      </w:r>
    </w:p>
    <w:p w14:paraId="26EC63F5" w14:textId="796D90C6" w:rsidR="00F93AF6" w:rsidRDefault="00EC7F15" w:rsidP="00F93AF6">
      <w:pPr>
        <w:pStyle w:val="Heading1"/>
        <w:rPr>
          <w:rFonts w:asciiTheme="minorHAnsi" w:hAnsiTheme="minorHAnsi" w:cstheme="minorHAnsi"/>
        </w:rPr>
      </w:pPr>
      <w:r>
        <w:rPr>
          <w:rFonts w:asciiTheme="minorHAnsi" w:hAnsiTheme="minorHAnsi" w:cstheme="minorHAnsi"/>
        </w:rPr>
        <w:t>General</w:t>
      </w:r>
    </w:p>
    <w:p w14:paraId="296A7BF2" w14:textId="5CEB41F8" w:rsidR="00FF12C0" w:rsidRPr="00FF12C0" w:rsidRDefault="00FF12C0" w:rsidP="00FF12C0">
      <w:pPr>
        <w:pStyle w:val="Heading2"/>
      </w:pPr>
      <w:r>
        <w:t>Channel Model for ATG UE Demod Requirements</w:t>
      </w:r>
    </w:p>
    <w:p w14:paraId="7825E4E5" w14:textId="31A6A2DB" w:rsidR="00EC7F15" w:rsidRDefault="00EC7F15" w:rsidP="00EC7F15">
      <w:pPr>
        <w:rPr>
          <w:lang w:val="en-GB"/>
        </w:rPr>
      </w:pPr>
      <w:r>
        <w:rPr>
          <w:lang w:val="en-GB"/>
        </w:rPr>
        <w:t>In the previous meeting RAN4 has agreed to consider single path AWGN channel with Doppler for the new requirements to be introduced for ATG UEs.</w:t>
      </w:r>
    </w:p>
    <w:p w14:paraId="1F0EE80D" w14:textId="1E4FD21F" w:rsidR="00EC7F15" w:rsidRDefault="00EC7F15" w:rsidP="00EC7F15">
      <w:pPr>
        <w:rPr>
          <w:lang w:val="en-GB"/>
        </w:rPr>
      </w:pPr>
      <w:r>
        <w:rPr>
          <w:lang w:val="en-GB"/>
        </w:rPr>
        <w:t xml:space="preserve">It is our view that introducing a fixed amount of Doppler shift in the channel model has a very modest impact </w:t>
      </w:r>
      <w:r w:rsidR="0062011B">
        <w:rPr>
          <w:lang w:val="en-GB"/>
        </w:rPr>
        <w:t xml:space="preserve">to the </w:t>
      </w:r>
      <w:r w:rsidR="00A32458">
        <w:rPr>
          <w:lang w:val="en-GB"/>
        </w:rPr>
        <w:t xml:space="preserve">test, it does not increase the coverage of the </w:t>
      </w:r>
      <w:r w:rsidR="00453AC9">
        <w:rPr>
          <w:lang w:val="en-GB"/>
        </w:rPr>
        <w:t xml:space="preserve">requirement and </w:t>
      </w:r>
      <w:r w:rsidR="0062011B">
        <w:rPr>
          <w:lang w:val="en-GB"/>
        </w:rPr>
        <w:t>result</w:t>
      </w:r>
      <w:r w:rsidR="00453AC9">
        <w:rPr>
          <w:lang w:val="en-GB"/>
        </w:rPr>
        <w:t xml:space="preserve">s only in an increased burden to define </w:t>
      </w:r>
      <w:r w:rsidR="0062011B">
        <w:rPr>
          <w:lang w:val="en-GB"/>
        </w:rPr>
        <w:t>a dedicated test setup</w:t>
      </w:r>
      <w:r w:rsidR="00453AC9">
        <w:rPr>
          <w:lang w:val="en-GB"/>
        </w:rPr>
        <w:t>.</w:t>
      </w:r>
    </w:p>
    <w:p w14:paraId="110E10F3" w14:textId="50495843" w:rsidR="00453AC9" w:rsidRDefault="00453AC9" w:rsidP="00453AC9">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sidR="0097547E">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A requirement with Single path AWGN </w:t>
      </w:r>
      <w:r w:rsidR="00B602B9">
        <w:rPr>
          <w:rFonts w:eastAsia="Times New Roman" w:cstheme="minorHAnsi"/>
          <w:b/>
          <w:bCs/>
        </w:rPr>
        <w:t xml:space="preserve">and </w:t>
      </w:r>
      <w:r>
        <w:rPr>
          <w:rFonts w:eastAsia="Times New Roman" w:cstheme="minorHAnsi"/>
          <w:b/>
          <w:bCs/>
        </w:rPr>
        <w:t xml:space="preserve">a constant Doppler shift </w:t>
      </w:r>
      <w:r w:rsidR="00B602B9">
        <w:rPr>
          <w:rFonts w:eastAsia="Times New Roman" w:cstheme="minorHAnsi"/>
          <w:b/>
          <w:bCs/>
        </w:rPr>
        <w:t>does not provide an increase in test coverage with respect to Single path AWGN only</w:t>
      </w:r>
      <w:r>
        <w:rPr>
          <w:rFonts w:eastAsia="Times New Roman" w:cstheme="minorHAnsi"/>
          <w:b/>
          <w:bCs/>
        </w:rPr>
        <w:t>;</w:t>
      </w:r>
    </w:p>
    <w:p w14:paraId="6E44554F" w14:textId="68DF0B95" w:rsidR="00453AC9" w:rsidRDefault="00A82C7D" w:rsidP="00EC7F15">
      <w:pPr>
        <w:rPr>
          <w:lang w:val="en-GB"/>
        </w:rPr>
      </w:pPr>
      <w:r>
        <w:rPr>
          <w:lang w:val="en-GB"/>
        </w:rPr>
        <w:t>Indeed</w:t>
      </w:r>
      <w:r w:rsidR="00B602B9">
        <w:rPr>
          <w:lang w:val="en-GB"/>
        </w:rPr>
        <w:t xml:space="preserve">, </w:t>
      </w:r>
      <w:r>
        <w:rPr>
          <w:lang w:val="en-GB"/>
        </w:rPr>
        <w:t xml:space="preserve">it is clear to see that the frequency offset caused by the Doppler shift will be </w:t>
      </w:r>
      <w:r w:rsidR="00C4787C">
        <w:rPr>
          <w:lang w:val="en-GB"/>
        </w:rPr>
        <w:t xml:space="preserve">compensated by the UE as soon as a sufficient number of TRS signals is received, and we expect </w:t>
      </w:r>
      <w:r w:rsidR="00F6105A">
        <w:rPr>
          <w:lang w:val="en-GB"/>
        </w:rPr>
        <w:t xml:space="preserve">this time to </w:t>
      </w:r>
      <w:r w:rsidR="00C4787C">
        <w:rPr>
          <w:lang w:val="en-GB"/>
        </w:rPr>
        <w:t xml:space="preserve">be </w:t>
      </w:r>
      <w:r w:rsidR="00F6105A">
        <w:rPr>
          <w:lang w:val="en-GB"/>
        </w:rPr>
        <w:t>in the order of fractions of a second. As a consequence, most of the test will run in no Doppler shift conditions, and we believe it should be recommended to avoid setting useless channel setup parameters</w:t>
      </w:r>
      <w:r w:rsidR="00D37D38">
        <w:rPr>
          <w:lang w:val="en-GB"/>
        </w:rPr>
        <w:t xml:space="preserve"> in conformance testing.</w:t>
      </w:r>
    </w:p>
    <w:p w14:paraId="75C01DFB" w14:textId="2E99F018" w:rsidR="00D37D38" w:rsidRPr="00D37D38" w:rsidRDefault="00D37D38" w:rsidP="00D37D38">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sidR="0097547E">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Shortly after </w:t>
      </w:r>
      <w:r w:rsidR="00061FC8">
        <w:rPr>
          <w:rFonts w:eastAsia="Times New Roman" w:cstheme="minorHAnsi"/>
          <w:b/>
          <w:bCs/>
        </w:rPr>
        <w:t xml:space="preserve">the test start, </w:t>
      </w:r>
      <w:r>
        <w:rPr>
          <w:rFonts w:eastAsia="Times New Roman" w:cstheme="minorHAnsi"/>
          <w:b/>
          <w:bCs/>
        </w:rPr>
        <w:t xml:space="preserve">UE correction </w:t>
      </w:r>
      <w:r w:rsidR="00061FC8">
        <w:rPr>
          <w:rFonts w:eastAsia="Times New Roman" w:cstheme="minorHAnsi"/>
          <w:b/>
          <w:bCs/>
        </w:rPr>
        <w:t xml:space="preserve">will have compensated for the constant Doppler shift, and the requirement will be </w:t>
      </w:r>
      <w:r w:rsidR="007F08EA">
        <w:rPr>
          <w:rFonts w:eastAsia="Times New Roman" w:cstheme="minorHAnsi"/>
          <w:b/>
          <w:bCs/>
        </w:rPr>
        <w:t xml:space="preserve">mostly </w:t>
      </w:r>
      <w:r w:rsidR="00061FC8">
        <w:rPr>
          <w:rFonts w:eastAsia="Times New Roman" w:cstheme="minorHAnsi"/>
          <w:b/>
          <w:bCs/>
        </w:rPr>
        <w:t xml:space="preserve">tested </w:t>
      </w:r>
      <w:r w:rsidR="007F08EA">
        <w:rPr>
          <w:rFonts w:eastAsia="Times New Roman" w:cstheme="minorHAnsi"/>
          <w:b/>
          <w:bCs/>
        </w:rPr>
        <w:t>in absence of doppler shift, making the setup redundant</w:t>
      </w:r>
      <w:r>
        <w:rPr>
          <w:rFonts w:eastAsia="Times New Roman" w:cstheme="minorHAnsi"/>
          <w:b/>
          <w:bCs/>
        </w:rPr>
        <w:t>;</w:t>
      </w:r>
    </w:p>
    <w:p w14:paraId="796E2979" w14:textId="2A7D4302" w:rsidR="00D37D38" w:rsidRPr="00750F15" w:rsidRDefault="00D37D38" w:rsidP="00D37D38">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Do not consider Doppler</w:t>
      </w:r>
      <w:r w:rsidR="00F67ADB">
        <w:rPr>
          <w:rFonts w:eastAsia="Times New Roman" w:cstheme="minorHAnsi"/>
          <w:b/>
          <w:bCs/>
        </w:rPr>
        <w:t xml:space="preserve"> shift in ATG UE Demod Requirements</w:t>
      </w:r>
      <w:r>
        <w:rPr>
          <w:rFonts w:eastAsia="Times New Roman" w:cstheme="minorHAnsi"/>
          <w:b/>
          <w:bCs/>
        </w:rPr>
        <w:t>;</w:t>
      </w:r>
    </w:p>
    <w:p w14:paraId="6A4730D6" w14:textId="0B026578" w:rsidR="00D37D38" w:rsidRDefault="00FF12C0" w:rsidP="00FF12C0">
      <w:pPr>
        <w:pStyle w:val="Heading2"/>
      </w:pPr>
      <w:r>
        <w:t>TDD Pattern</w:t>
      </w:r>
    </w:p>
    <w:p w14:paraId="1BAA6372" w14:textId="2020F4B9" w:rsidR="00740F0E" w:rsidRDefault="00740F0E" w:rsidP="00FF12C0">
      <w:pPr>
        <w:rPr>
          <w:lang w:val="en-GB"/>
        </w:rPr>
      </w:pPr>
      <w:r>
        <w:rPr>
          <w:lang w:val="en-GB"/>
        </w:rPr>
        <w:t xml:space="preserve">In the past meeting there has been discussions related to the HARQ processes supported by the ATG UE, and our view is that the baseline capability should be </w:t>
      </w:r>
      <w:r w:rsidR="00CA0873">
        <w:rPr>
          <w:lang w:val="en-GB"/>
        </w:rPr>
        <w:t>the support of 16 HARQ processes.</w:t>
      </w:r>
    </w:p>
    <w:p w14:paraId="34971C5E" w14:textId="1D53CD1A" w:rsidR="005E38D0" w:rsidRDefault="005E38D0" w:rsidP="00FF12C0">
      <w:pPr>
        <w:rPr>
          <w:lang w:val="en-GB"/>
        </w:rPr>
      </w:pPr>
      <w:proofErr w:type="gramStart"/>
      <w:r>
        <w:rPr>
          <w:lang w:val="en-GB"/>
        </w:rPr>
        <w:t>So</w:t>
      </w:r>
      <w:proofErr w:type="gramEnd"/>
      <w:r>
        <w:rPr>
          <w:lang w:val="en-GB"/>
        </w:rPr>
        <w:t xml:space="preserve"> we’d like to propose the following for consideration:</w:t>
      </w:r>
    </w:p>
    <w:p w14:paraId="691D4D2D" w14:textId="32B4DF82" w:rsidR="00740F0E" w:rsidRPr="00740F0E" w:rsidRDefault="00740F0E" w:rsidP="00740F0E">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assume baseline ATG UE supports up to 16 HARQ processes;</w:t>
      </w:r>
    </w:p>
    <w:p w14:paraId="2426AD10" w14:textId="7C1DD554" w:rsidR="00740F0E" w:rsidRPr="00750F15" w:rsidRDefault="00740F0E" w:rsidP="00740F0E">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3</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If RAN4 introduces ATG UE Demodulation requirements which require &gt;16 HARQ processes, these should be optional based on UE capability;</w:t>
      </w:r>
    </w:p>
    <w:p w14:paraId="755F6E74" w14:textId="77777777" w:rsidR="00740F0E" w:rsidRPr="00740F0E" w:rsidRDefault="00740F0E" w:rsidP="00FF12C0"/>
    <w:p w14:paraId="4A53452C" w14:textId="45FD2612" w:rsidR="00FF12C0" w:rsidRDefault="00FF12C0" w:rsidP="00FF12C0">
      <w:pPr>
        <w:rPr>
          <w:lang w:val="en-GB"/>
        </w:rPr>
      </w:pPr>
      <w:r>
        <w:rPr>
          <w:lang w:val="en-GB"/>
        </w:rPr>
        <w:lastRenderedPageBreak/>
        <w:t>In our company contribution to RRM</w:t>
      </w:r>
      <w:r w:rsidR="00261D71">
        <w:rPr>
          <w:lang w:val="en-GB"/>
        </w:rPr>
        <w:t xml:space="preserve"> [R4-231YYYY]</w:t>
      </w:r>
      <w:r>
        <w:rPr>
          <w:lang w:val="en-GB"/>
        </w:rPr>
        <w:t xml:space="preserve">, we have included </w:t>
      </w:r>
      <w:r w:rsidR="00551F67">
        <w:rPr>
          <w:lang w:val="en-GB"/>
        </w:rPr>
        <w:t>a proposal on how</w:t>
      </w:r>
      <w:r>
        <w:rPr>
          <w:lang w:val="en-GB"/>
        </w:rPr>
        <w:t xml:space="preserve"> to </w:t>
      </w:r>
      <w:r w:rsidR="00551F67">
        <w:rPr>
          <w:lang w:val="en-GB"/>
        </w:rPr>
        <w:t xml:space="preserve">address the TDD pattern for large cells, using the combination of </w:t>
      </w:r>
      <w:r w:rsidR="00F21623" w:rsidRPr="00F21623">
        <w:rPr>
          <w:lang w:val="en-GB"/>
        </w:rPr>
        <w:t>Cell-specific TDD configuration (TDD-UL-DL-</w:t>
      </w:r>
      <w:proofErr w:type="spellStart"/>
      <w:r w:rsidR="00F21623" w:rsidRPr="00F21623">
        <w:rPr>
          <w:lang w:val="en-GB"/>
        </w:rPr>
        <w:t>ConfigCommon</w:t>
      </w:r>
      <w:proofErr w:type="spellEnd"/>
      <w:r w:rsidR="00F21623" w:rsidRPr="00F21623">
        <w:rPr>
          <w:lang w:val="en-GB"/>
        </w:rPr>
        <w:t xml:space="preserve"> in </w:t>
      </w:r>
      <w:proofErr w:type="spellStart"/>
      <w:r w:rsidR="00F21623" w:rsidRPr="00F21623">
        <w:rPr>
          <w:lang w:val="en-GB"/>
        </w:rPr>
        <w:t>ServingCellConfigCommon</w:t>
      </w:r>
      <w:proofErr w:type="spellEnd"/>
      <w:r w:rsidR="00F21623" w:rsidRPr="00F21623">
        <w:rPr>
          <w:lang w:val="en-GB"/>
        </w:rPr>
        <w:t>) and UE-specific TDD configuration (TDD-UL-DL-</w:t>
      </w:r>
      <w:proofErr w:type="spellStart"/>
      <w:r w:rsidR="00F21623" w:rsidRPr="00F21623">
        <w:rPr>
          <w:lang w:val="en-GB"/>
        </w:rPr>
        <w:t>ConfigDedicated</w:t>
      </w:r>
      <w:proofErr w:type="spellEnd"/>
      <w:r w:rsidR="00F21623" w:rsidRPr="00F21623">
        <w:rPr>
          <w:lang w:val="en-GB"/>
        </w:rPr>
        <w:t xml:space="preserve"> in </w:t>
      </w:r>
      <w:proofErr w:type="spellStart"/>
      <w:r w:rsidR="00F21623" w:rsidRPr="00F21623">
        <w:rPr>
          <w:lang w:val="en-GB"/>
        </w:rPr>
        <w:t>ServingCellConfig</w:t>
      </w:r>
      <w:proofErr w:type="spellEnd"/>
      <w:r w:rsidR="00F21623" w:rsidRPr="00F21623">
        <w:rPr>
          <w:lang w:val="en-GB"/>
        </w:rPr>
        <w:t>) to solve the guard period issue for large TDD cells</w:t>
      </w:r>
      <w:r w:rsidR="00F21623">
        <w:rPr>
          <w:lang w:val="en-GB"/>
        </w:rPr>
        <w:t>.</w:t>
      </w:r>
    </w:p>
    <w:p w14:paraId="220985B8" w14:textId="145B1B42" w:rsidR="00CF78FB" w:rsidRDefault="00CF78FB" w:rsidP="00FF12C0">
      <w:pPr>
        <w:rPr>
          <w:lang w:val="en-GB"/>
        </w:rPr>
      </w:pPr>
      <w:r>
        <w:rPr>
          <w:lang w:val="en-GB"/>
        </w:rPr>
        <w:t xml:space="preserve">For information, the proposal is pasted here as </w:t>
      </w:r>
      <w:proofErr w:type="gramStart"/>
      <w:r>
        <w:rPr>
          <w:lang w:val="en-GB"/>
        </w:rPr>
        <w:t>well</w:t>
      </w:r>
      <w:proofErr w:type="gramEnd"/>
    </w:p>
    <w:p w14:paraId="23AC714E" w14:textId="7E50A1F0" w:rsidR="00823CFC" w:rsidRPr="00CF78FB" w:rsidRDefault="00F21623" w:rsidP="00823CFC">
      <w:pPr>
        <w:rPr>
          <w:rFonts w:eastAsia="Times New Roman" w:cstheme="minorHAnsi"/>
          <w:i/>
          <w:iCs/>
        </w:rPr>
      </w:pPr>
      <w:r w:rsidRPr="00CF78FB">
        <w:rPr>
          <w:rFonts w:eastAsia="Times New Roman" w:cstheme="minorHAnsi"/>
          <w:i/>
          <w:iCs/>
        </w:rPr>
        <w:t>Proposal</w:t>
      </w:r>
      <w:r w:rsidR="007A4E86">
        <w:rPr>
          <w:rFonts w:eastAsia="Times New Roman" w:cstheme="minorHAnsi"/>
          <w:i/>
          <w:iCs/>
        </w:rPr>
        <w:t xml:space="preserve"> 4</w:t>
      </w:r>
      <w:r w:rsidRPr="00CF78FB">
        <w:rPr>
          <w:rFonts w:eastAsia="Times New Roman" w:cstheme="minorHAnsi"/>
          <w:i/>
          <w:iCs/>
        </w:rPr>
        <w:t xml:space="preserve">: </w:t>
      </w:r>
      <w:r w:rsidR="00823CFC" w:rsidRPr="00CF78FB">
        <w:rPr>
          <w:rFonts w:eastAsia="Times New Roman" w:cstheme="minorHAnsi"/>
          <w:i/>
          <w:iCs/>
        </w:rPr>
        <w:t>Use the combination of Cell-specific TDD configuration (TDD-UL-DL-</w:t>
      </w:r>
      <w:proofErr w:type="spellStart"/>
      <w:r w:rsidR="00823CFC" w:rsidRPr="00CF78FB">
        <w:rPr>
          <w:rFonts w:eastAsia="Times New Roman" w:cstheme="minorHAnsi"/>
          <w:i/>
          <w:iCs/>
        </w:rPr>
        <w:t>ConfigCommon</w:t>
      </w:r>
      <w:proofErr w:type="spellEnd"/>
      <w:r w:rsidR="00823CFC" w:rsidRPr="00CF78FB">
        <w:rPr>
          <w:rFonts w:eastAsia="Times New Roman" w:cstheme="minorHAnsi"/>
          <w:i/>
          <w:iCs/>
        </w:rPr>
        <w:t xml:space="preserve"> in </w:t>
      </w:r>
      <w:proofErr w:type="spellStart"/>
      <w:r w:rsidR="00823CFC" w:rsidRPr="00CF78FB">
        <w:rPr>
          <w:rFonts w:eastAsia="Times New Roman" w:cstheme="minorHAnsi"/>
          <w:i/>
          <w:iCs/>
        </w:rPr>
        <w:t>ServingCellConfigCommon</w:t>
      </w:r>
      <w:proofErr w:type="spellEnd"/>
      <w:r w:rsidR="00823CFC" w:rsidRPr="00CF78FB">
        <w:rPr>
          <w:rFonts w:eastAsia="Times New Roman" w:cstheme="minorHAnsi"/>
          <w:i/>
          <w:iCs/>
        </w:rPr>
        <w:t>) and UE-specific TDD configuration (TDD-UL-DL-</w:t>
      </w:r>
      <w:proofErr w:type="spellStart"/>
      <w:r w:rsidR="00823CFC" w:rsidRPr="00CF78FB">
        <w:rPr>
          <w:rFonts w:eastAsia="Times New Roman" w:cstheme="minorHAnsi"/>
          <w:i/>
          <w:iCs/>
        </w:rPr>
        <w:t>ConfigDedicated</w:t>
      </w:r>
      <w:proofErr w:type="spellEnd"/>
      <w:r w:rsidR="00823CFC" w:rsidRPr="00CF78FB">
        <w:rPr>
          <w:rFonts w:eastAsia="Times New Roman" w:cstheme="minorHAnsi"/>
          <w:i/>
          <w:iCs/>
        </w:rPr>
        <w:t xml:space="preserve"> in </w:t>
      </w:r>
      <w:proofErr w:type="spellStart"/>
      <w:r w:rsidR="00823CFC" w:rsidRPr="00CF78FB">
        <w:rPr>
          <w:rFonts w:eastAsia="Times New Roman" w:cstheme="minorHAnsi"/>
          <w:i/>
          <w:iCs/>
        </w:rPr>
        <w:t>ServingCellConfig</w:t>
      </w:r>
      <w:proofErr w:type="spellEnd"/>
      <w:r w:rsidR="00823CFC" w:rsidRPr="00CF78FB">
        <w:rPr>
          <w:rFonts w:eastAsia="Times New Roman" w:cstheme="minorHAnsi"/>
          <w:i/>
          <w:iCs/>
        </w:rPr>
        <w:t>) to solve the guard period issue for large TDD cells.</w:t>
      </w:r>
    </w:p>
    <w:p w14:paraId="29837875" w14:textId="65F67AA8" w:rsidR="00823CFC" w:rsidRPr="00A03CC5" w:rsidRDefault="00823CFC" w:rsidP="00A03CC5">
      <w:pPr>
        <w:pStyle w:val="ListParagraph"/>
        <w:numPr>
          <w:ilvl w:val="0"/>
          <w:numId w:val="19"/>
        </w:numPr>
        <w:rPr>
          <w:rFonts w:eastAsia="Times New Roman" w:cstheme="minorHAnsi"/>
          <w:i/>
          <w:iCs/>
        </w:rPr>
      </w:pPr>
      <w:r w:rsidRPr="00A03CC5">
        <w:rPr>
          <w:rFonts w:eastAsia="Times New Roman" w:cstheme="minorHAnsi"/>
          <w:i/>
          <w:iCs/>
        </w:rPr>
        <w:t>Cell-specific TDD pattern (TDD-UL-DL-</w:t>
      </w:r>
      <w:proofErr w:type="spellStart"/>
      <w:r w:rsidRPr="00A03CC5">
        <w:rPr>
          <w:rFonts w:eastAsia="Times New Roman" w:cstheme="minorHAnsi"/>
          <w:i/>
          <w:iCs/>
        </w:rPr>
        <w:t>ConfigCommon</w:t>
      </w:r>
      <w:proofErr w:type="spellEnd"/>
      <w:r w:rsidRPr="00A03CC5">
        <w:rPr>
          <w:rFonts w:eastAsia="Times New Roman" w:cstheme="minorHAnsi"/>
          <w:i/>
          <w:iCs/>
        </w:rPr>
        <w:t xml:space="preserve">) configures flexible slots to accommodate the largest RTD based on NW deployment and </w:t>
      </w:r>
    </w:p>
    <w:p w14:paraId="55AA4B74" w14:textId="0947852E" w:rsidR="00F21623" w:rsidRPr="00A03CC5" w:rsidRDefault="00823CFC" w:rsidP="00A03CC5">
      <w:pPr>
        <w:pStyle w:val="ListParagraph"/>
        <w:numPr>
          <w:ilvl w:val="0"/>
          <w:numId w:val="19"/>
        </w:numPr>
        <w:rPr>
          <w:i/>
          <w:iCs/>
        </w:rPr>
      </w:pPr>
      <w:r w:rsidRPr="00A03CC5">
        <w:rPr>
          <w:rFonts w:eastAsia="Times New Roman" w:cstheme="minorHAnsi"/>
          <w:i/>
          <w:iCs/>
        </w:rPr>
        <w:t>UE-specific TDD pattern (TDD-UL-DL-</w:t>
      </w:r>
      <w:proofErr w:type="spellStart"/>
      <w:r w:rsidRPr="00A03CC5">
        <w:rPr>
          <w:rFonts w:eastAsia="Times New Roman" w:cstheme="minorHAnsi"/>
          <w:i/>
          <w:iCs/>
        </w:rPr>
        <w:t>ConfigDedicated</w:t>
      </w:r>
      <w:proofErr w:type="spellEnd"/>
      <w:r w:rsidRPr="00A03CC5">
        <w:rPr>
          <w:rFonts w:eastAsia="Times New Roman" w:cstheme="minorHAnsi"/>
          <w:i/>
          <w:iCs/>
        </w:rPr>
        <w:t>) updates/overwrites the ‘flexible’ slots/symbols in the Cell-specific TDD pattern (TDD-UL-DL-</w:t>
      </w:r>
      <w:proofErr w:type="spellStart"/>
      <w:r w:rsidRPr="00A03CC5">
        <w:rPr>
          <w:rFonts w:eastAsia="Times New Roman" w:cstheme="minorHAnsi"/>
          <w:i/>
          <w:iCs/>
        </w:rPr>
        <w:t>ConfigCommon</w:t>
      </w:r>
      <w:proofErr w:type="spellEnd"/>
      <w:r w:rsidRPr="00A03CC5">
        <w:rPr>
          <w:rFonts w:eastAsia="Times New Roman" w:cstheme="minorHAnsi"/>
          <w:i/>
          <w:iCs/>
        </w:rPr>
        <w:t>) based on UE TA report which is currently supported in NT</w:t>
      </w:r>
      <w:r w:rsidR="00A03CC5">
        <w:rPr>
          <w:rFonts w:eastAsia="Times New Roman" w:cstheme="minorHAnsi"/>
          <w:i/>
          <w:iCs/>
        </w:rPr>
        <w:t>N</w:t>
      </w:r>
      <w:r w:rsidR="00F21623" w:rsidRPr="00A03CC5">
        <w:rPr>
          <w:rFonts w:eastAsia="Times New Roman" w:cstheme="minorHAnsi"/>
          <w:i/>
          <w:iCs/>
        </w:rPr>
        <w:t>;</w:t>
      </w:r>
    </w:p>
    <w:p w14:paraId="73078A44" w14:textId="77777777" w:rsidR="00A03CC5" w:rsidRPr="00A03CC5" w:rsidRDefault="00A03CC5" w:rsidP="00A03CC5">
      <w:pPr>
        <w:ind w:left="360"/>
        <w:rPr>
          <w:i/>
          <w:iCs/>
        </w:rPr>
      </w:pPr>
    </w:p>
    <w:p w14:paraId="44E549B4" w14:textId="21DB7CD2" w:rsidR="00DB6879" w:rsidRDefault="00DB6879" w:rsidP="00DB6879">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4</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assume TDD Pattern scheduling based on Cell-specific TDD configuration and UE-specific TDD configuration;</w:t>
      </w:r>
    </w:p>
    <w:p w14:paraId="1B8E33FD" w14:textId="2F0A6E43" w:rsidR="00DB6879" w:rsidRDefault="00DB6879" w:rsidP="00DB6879">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5</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w:t>
      </w:r>
      <w:r w:rsidR="00BC5158">
        <w:rPr>
          <w:rFonts w:eastAsia="Times New Roman" w:cstheme="minorHAnsi"/>
          <w:b/>
          <w:bCs/>
        </w:rPr>
        <w:t xml:space="preserve">From the point of view of UE Demodulation, if </w:t>
      </w:r>
      <w:r w:rsidR="00287B93">
        <w:rPr>
          <w:rFonts w:eastAsia="Times New Roman" w:cstheme="minorHAnsi"/>
          <w:b/>
          <w:bCs/>
        </w:rPr>
        <w:t>the above TDD pattern scheduling is assumed, requirements can be defined with the reference Pattern of 7D1S2U</w:t>
      </w:r>
      <w:r w:rsidR="00607D32">
        <w:rPr>
          <w:rFonts w:eastAsia="Times New Roman" w:cstheme="minorHAnsi"/>
          <w:b/>
          <w:bCs/>
        </w:rPr>
        <w:t>; UE capabilities to handle difference TDD configurations will be tested in RRM and has no impact on UE baseband processing or performance;</w:t>
      </w:r>
    </w:p>
    <w:p w14:paraId="7BCA50E4" w14:textId="3807D0A7" w:rsidR="00DB6879" w:rsidRPr="00750F15" w:rsidRDefault="00274FEC" w:rsidP="00DB6879">
      <w:r>
        <w:t xml:space="preserve">For the remaining option, we do not support introducing </w:t>
      </w:r>
      <w:r w:rsidR="009B56E1">
        <w:t xml:space="preserve">Demodulation requirements with long TDD patterns, and if they are introduced </w:t>
      </w:r>
      <w:r w:rsidR="009F0CC4">
        <w:t>RAN4 should discuss whether they should be introduced optionally</w:t>
      </w:r>
      <w:r w:rsidR="009B56E1">
        <w:t xml:space="preserve"> based on </w:t>
      </w:r>
      <w:r w:rsidR="009F0CC4">
        <w:t xml:space="preserve">the </w:t>
      </w:r>
      <w:r w:rsidR="009B56E1">
        <w:t xml:space="preserve">ATG UE support of </w:t>
      </w:r>
      <w:r w:rsidR="002E0C5E">
        <w:t xml:space="preserve">32 HARQ </w:t>
      </w:r>
      <w:proofErr w:type="gramStart"/>
      <w:r w:rsidR="002E0C5E">
        <w:t>processes</w:t>
      </w:r>
      <w:proofErr w:type="gramEnd"/>
    </w:p>
    <w:p w14:paraId="0953A2B9" w14:textId="092210BC" w:rsidR="00C061B0" w:rsidRPr="00750F15" w:rsidRDefault="00C061B0" w:rsidP="00C061B0">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6</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w:t>
      </w:r>
      <w:r w:rsidR="00740F0E">
        <w:rPr>
          <w:rFonts w:eastAsia="Times New Roman" w:cstheme="minorHAnsi"/>
          <w:b/>
          <w:bCs/>
        </w:rPr>
        <w:t xml:space="preserve">should </w:t>
      </w:r>
      <w:r>
        <w:rPr>
          <w:rFonts w:eastAsia="Times New Roman" w:cstheme="minorHAnsi"/>
          <w:b/>
          <w:bCs/>
        </w:rPr>
        <w:t>not define ATG UE Demodulation requirements with 30D4S</w:t>
      </w:r>
      <w:r w:rsidR="006A0B59">
        <w:rPr>
          <w:rFonts w:eastAsia="Times New Roman" w:cstheme="minorHAnsi"/>
          <w:b/>
          <w:bCs/>
        </w:rPr>
        <w:t>6</w:t>
      </w:r>
      <w:r>
        <w:rPr>
          <w:rFonts w:eastAsia="Times New Roman" w:cstheme="minorHAnsi"/>
          <w:b/>
          <w:bCs/>
        </w:rPr>
        <w:t>U TDD Slot Pattern;</w:t>
      </w:r>
    </w:p>
    <w:p w14:paraId="27D23538" w14:textId="48ECF6C0" w:rsidR="00740F0E" w:rsidRDefault="003E278C" w:rsidP="003E278C">
      <w:pPr>
        <w:pStyle w:val="Heading2"/>
      </w:pPr>
      <w:r>
        <w:t>Applicability rules</w:t>
      </w:r>
    </w:p>
    <w:p w14:paraId="62CCAF71" w14:textId="74E7629F" w:rsidR="003E278C" w:rsidRDefault="003E278C" w:rsidP="003E278C">
      <w:pPr>
        <w:rPr>
          <w:lang w:val="en-GB"/>
        </w:rPr>
      </w:pPr>
      <w:r>
        <w:rPr>
          <w:lang w:val="en-GB"/>
        </w:rPr>
        <w:t>Considering that RF has agreed to define a UE capability for ATG UEs to report MOP, we don’t see necessary to define a new UE capability for the applicability of UE Demodulation requirements, and we should reuse the existing one;</w:t>
      </w:r>
    </w:p>
    <w:p w14:paraId="265297DD" w14:textId="4E91AF3C" w:rsidR="003E278C" w:rsidRPr="003E278C" w:rsidRDefault="003E278C" w:rsidP="003E278C">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7</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w:t>
      </w:r>
      <w:r w:rsidR="009C4ACB">
        <w:rPr>
          <w:rFonts w:eastAsia="Times New Roman" w:cstheme="minorHAnsi"/>
          <w:b/>
          <w:bCs/>
        </w:rPr>
        <w:t xml:space="preserve">RAN4 should </w:t>
      </w:r>
      <w:r w:rsidR="009C4ACB" w:rsidRPr="009C4ACB">
        <w:rPr>
          <w:rFonts w:eastAsia="Times New Roman" w:cstheme="minorHAnsi"/>
          <w:b/>
          <w:bCs/>
        </w:rPr>
        <w:t>not define new UE capability for Demodulation performance. If necessary, use new RF ATG Capability (ATG UE reports MOP);</w:t>
      </w:r>
    </w:p>
    <w:p w14:paraId="6FE5F666" w14:textId="20329269" w:rsidR="00B82A51" w:rsidRDefault="00B82A51" w:rsidP="00B82A51">
      <w:pPr>
        <w:pStyle w:val="Heading1"/>
      </w:pPr>
      <w:r>
        <w:t>PDSCH Requirements</w:t>
      </w:r>
      <w:r w:rsidR="00054C72">
        <w:t xml:space="preserve"> (Legacy)</w:t>
      </w:r>
    </w:p>
    <w:p w14:paraId="695C8A35" w14:textId="52F8689A" w:rsidR="00DB6879" w:rsidRDefault="00B82A51" w:rsidP="00FF12C0">
      <w:pPr>
        <w:rPr>
          <w:lang w:val="en-GB"/>
        </w:rPr>
      </w:pPr>
      <w:r>
        <w:rPr>
          <w:lang w:val="en-GB"/>
        </w:rPr>
        <w:t>For the applicability of legacy PDSCH requirements, based on the agreements in the WF, we would like to propose the following choice</w:t>
      </w:r>
      <w:r w:rsidR="00D57A0C">
        <w:rPr>
          <w:lang w:val="en-GB"/>
        </w:rPr>
        <w:t>s for the applicable tests;</w:t>
      </w:r>
    </w:p>
    <w:p w14:paraId="1F9A4868" w14:textId="01262EC9" w:rsidR="00D57A0C" w:rsidRDefault="00D57A0C" w:rsidP="00D57A0C">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8</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consider the following legacy tests to be applicable to ATG UEs;</w:t>
      </w:r>
    </w:p>
    <w:p w14:paraId="67E43B6E" w14:textId="4A64FF13" w:rsidR="00D57A0C" w:rsidRDefault="00D57A0C" w:rsidP="00D57A0C">
      <w:pPr>
        <w:rPr>
          <w:b/>
          <w:bCs/>
          <w:lang w:val="en-GB"/>
        </w:rPr>
      </w:pPr>
      <w:r w:rsidRPr="00D57A0C">
        <w:rPr>
          <w:b/>
          <w:bCs/>
          <w:lang w:val="en-GB"/>
        </w:rPr>
        <w:t>Table 5.2.2.2.1-3 (R=1);</w:t>
      </w:r>
      <w:r>
        <w:rPr>
          <w:b/>
          <w:bCs/>
          <w:lang w:val="en-GB"/>
        </w:rPr>
        <w:tab/>
      </w:r>
    </w:p>
    <w:p w14:paraId="755365CC" w14:textId="77777777" w:rsidR="00D57A0C" w:rsidRDefault="00D57A0C" w:rsidP="003F10C7">
      <w:pPr>
        <w:pStyle w:val="ListParagraph"/>
        <w:numPr>
          <w:ilvl w:val="0"/>
          <w:numId w:val="17"/>
        </w:numPr>
        <w:rPr>
          <w:b/>
          <w:bCs/>
          <w:lang w:val="en-GB"/>
        </w:rPr>
      </w:pPr>
      <w:r w:rsidRPr="00D57A0C">
        <w:rPr>
          <w:b/>
          <w:bCs/>
          <w:lang w:val="en-GB"/>
        </w:rPr>
        <w:t>QPSK Test 1-1;</w:t>
      </w:r>
    </w:p>
    <w:p w14:paraId="4B5674BD" w14:textId="77777777" w:rsidR="00D57A0C" w:rsidRDefault="00D57A0C" w:rsidP="00EE06F9">
      <w:pPr>
        <w:pStyle w:val="ListParagraph"/>
        <w:numPr>
          <w:ilvl w:val="0"/>
          <w:numId w:val="17"/>
        </w:numPr>
        <w:rPr>
          <w:b/>
          <w:bCs/>
          <w:lang w:val="en-GB"/>
        </w:rPr>
      </w:pPr>
      <w:r w:rsidRPr="00D57A0C">
        <w:rPr>
          <w:b/>
          <w:bCs/>
          <w:lang w:val="en-GB"/>
        </w:rPr>
        <w:t>16QAM: Test 1-4;</w:t>
      </w:r>
      <w:r>
        <w:rPr>
          <w:b/>
          <w:bCs/>
          <w:lang w:val="en-GB"/>
        </w:rPr>
        <w:t xml:space="preserve"> </w:t>
      </w:r>
    </w:p>
    <w:p w14:paraId="616B6523" w14:textId="3DA3ADFC" w:rsidR="00D57A0C" w:rsidRPr="00D57A0C" w:rsidRDefault="00D57A0C" w:rsidP="00EE06F9">
      <w:pPr>
        <w:pStyle w:val="ListParagraph"/>
        <w:numPr>
          <w:ilvl w:val="0"/>
          <w:numId w:val="17"/>
        </w:numPr>
        <w:rPr>
          <w:b/>
          <w:bCs/>
          <w:lang w:val="en-GB"/>
        </w:rPr>
      </w:pPr>
      <w:r w:rsidRPr="00D57A0C">
        <w:rPr>
          <w:b/>
          <w:bCs/>
          <w:lang w:val="en-GB"/>
        </w:rPr>
        <w:t>256QAM: Test 1-3;</w:t>
      </w:r>
    </w:p>
    <w:p w14:paraId="7013E713" w14:textId="77777777" w:rsidR="00D57A0C" w:rsidRPr="00D57A0C" w:rsidRDefault="00D57A0C" w:rsidP="00D57A0C">
      <w:pPr>
        <w:rPr>
          <w:b/>
          <w:bCs/>
          <w:lang w:val="en-GB"/>
        </w:rPr>
      </w:pPr>
      <w:r w:rsidRPr="00D57A0C">
        <w:rPr>
          <w:b/>
          <w:bCs/>
          <w:lang w:val="en-GB"/>
        </w:rPr>
        <w:t>Table 5.2.2.2.1-4 (R=2);</w:t>
      </w:r>
    </w:p>
    <w:p w14:paraId="4694AB4E" w14:textId="4FB7944B" w:rsidR="00D57A0C" w:rsidRPr="00D57A0C" w:rsidRDefault="00D57A0C" w:rsidP="00D57A0C">
      <w:pPr>
        <w:pStyle w:val="ListParagraph"/>
        <w:numPr>
          <w:ilvl w:val="0"/>
          <w:numId w:val="17"/>
        </w:numPr>
        <w:rPr>
          <w:b/>
          <w:bCs/>
          <w:lang w:val="en-GB"/>
        </w:rPr>
      </w:pPr>
      <w:r w:rsidRPr="00D57A0C">
        <w:rPr>
          <w:b/>
          <w:bCs/>
          <w:lang w:val="en-GB"/>
        </w:rPr>
        <w:lastRenderedPageBreak/>
        <w:t>64QAM: Test 2-1</w:t>
      </w:r>
    </w:p>
    <w:p w14:paraId="6F9C21A7" w14:textId="4B81D6F8" w:rsidR="00D57A0C" w:rsidRDefault="00D57A0C" w:rsidP="00D57A0C">
      <w:pPr>
        <w:rPr>
          <w:lang w:val="en-GB"/>
        </w:rPr>
      </w:pPr>
      <w:r>
        <w:rPr>
          <w:b/>
          <w:bCs/>
          <w:lang w:val="en-GB"/>
        </w:rPr>
        <w:t xml:space="preserve">Same tests </w:t>
      </w:r>
      <w:r w:rsidRPr="00D57A0C">
        <w:rPr>
          <w:b/>
          <w:bCs/>
          <w:lang w:val="en-GB"/>
        </w:rPr>
        <w:t>for FDD (Table</w:t>
      </w:r>
      <w:r w:rsidR="002D3D5F">
        <w:rPr>
          <w:b/>
          <w:bCs/>
          <w:lang w:val="en-GB"/>
        </w:rPr>
        <w:t>s</w:t>
      </w:r>
      <w:r w:rsidRPr="00D57A0C">
        <w:rPr>
          <w:b/>
          <w:bCs/>
          <w:lang w:val="en-GB"/>
        </w:rPr>
        <w:t xml:space="preserve"> 5.2.2.1.1-3/4)</w:t>
      </w:r>
      <w:r>
        <w:rPr>
          <w:b/>
          <w:bCs/>
          <w:lang w:val="en-GB"/>
        </w:rPr>
        <w:t>;</w:t>
      </w:r>
    </w:p>
    <w:p w14:paraId="7FB5FC94" w14:textId="77777777" w:rsidR="00B82A51" w:rsidRPr="00FF12C0" w:rsidRDefault="00B82A51" w:rsidP="00FF12C0">
      <w:pPr>
        <w:rPr>
          <w:lang w:val="en-GB"/>
        </w:rPr>
      </w:pPr>
    </w:p>
    <w:p w14:paraId="7AAB86B3" w14:textId="06650584" w:rsidR="00F6105A" w:rsidRDefault="00054C72" w:rsidP="00054C72">
      <w:pPr>
        <w:pStyle w:val="Heading1"/>
      </w:pPr>
      <w:r>
        <w:t>PDCCH and CSI Requirements</w:t>
      </w:r>
      <w:r w:rsidR="0009487F">
        <w:t xml:space="preserve"> (Legacy)</w:t>
      </w:r>
    </w:p>
    <w:p w14:paraId="72C051AA" w14:textId="1493782E" w:rsidR="00980E1F" w:rsidRDefault="00054C72" w:rsidP="00054C72">
      <w:pPr>
        <w:rPr>
          <w:lang w:val="en-GB"/>
        </w:rPr>
      </w:pPr>
      <w:r>
        <w:rPr>
          <w:lang w:val="en-GB"/>
        </w:rPr>
        <w:t xml:space="preserve">To reduce the </w:t>
      </w:r>
      <w:r w:rsidR="0009487F">
        <w:rPr>
          <w:lang w:val="en-GB"/>
        </w:rPr>
        <w:t xml:space="preserve">test burden, we can consider </w:t>
      </w:r>
      <w:r w:rsidR="00980E1F">
        <w:rPr>
          <w:lang w:val="en-GB"/>
        </w:rPr>
        <w:t xml:space="preserve">not to apply other existing legacy cases </w:t>
      </w:r>
      <w:r w:rsidR="009B7824">
        <w:rPr>
          <w:lang w:val="en-GB"/>
        </w:rPr>
        <w:t>relying on the coverage provided by the selected PDSCH test cases</w:t>
      </w:r>
      <w:r w:rsidR="00980E1F">
        <w:rPr>
          <w:lang w:val="en-GB"/>
        </w:rPr>
        <w:t>;</w:t>
      </w:r>
    </w:p>
    <w:p w14:paraId="1AACE600" w14:textId="3D7F852C" w:rsidR="00980E1F" w:rsidRDefault="00980E1F" w:rsidP="00980E1F">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9</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w:t>
      </w:r>
      <w:r>
        <w:rPr>
          <w:rFonts w:eastAsia="Times New Roman" w:cstheme="minorHAnsi"/>
          <w:b/>
          <w:bCs/>
        </w:rPr>
        <w:t xml:space="preserve">Do not consider </w:t>
      </w:r>
      <w:r w:rsidR="009B7824">
        <w:rPr>
          <w:rFonts w:eastAsia="Times New Roman" w:cstheme="minorHAnsi"/>
          <w:b/>
          <w:bCs/>
        </w:rPr>
        <w:t xml:space="preserve">in the ATG scope </w:t>
      </w:r>
      <w:r>
        <w:rPr>
          <w:rFonts w:eastAsia="Times New Roman" w:cstheme="minorHAnsi"/>
          <w:b/>
          <w:bCs/>
        </w:rPr>
        <w:t>legacy PDCCH requirements</w:t>
      </w:r>
      <w:r w:rsidR="009B7824">
        <w:rPr>
          <w:rFonts w:eastAsia="Times New Roman" w:cstheme="minorHAnsi"/>
          <w:b/>
          <w:bCs/>
        </w:rPr>
        <w:t>;</w:t>
      </w:r>
    </w:p>
    <w:p w14:paraId="4DAD3268" w14:textId="67051727" w:rsidR="00054C72" w:rsidRPr="00980E1F" w:rsidRDefault="00980E1F" w:rsidP="00054C72">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10</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w:t>
      </w:r>
      <w:r w:rsidR="009B7824">
        <w:rPr>
          <w:rFonts w:eastAsia="Times New Roman" w:cstheme="minorHAnsi"/>
          <w:b/>
          <w:bCs/>
        </w:rPr>
        <w:t xml:space="preserve">Do not consider in the ATG scope legacy CSI reporting </w:t>
      </w:r>
      <w:r w:rsidR="004A12BC">
        <w:rPr>
          <w:rFonts w:eastAsia="Times New Roman" w:cstheme="minorHAnsi"/>
          <w:b/>
          <w:bCs/>
        </w:rPr>
        <w:t>requirements</w:t>
      </w:r>
      <w:r>
        <w:rPr>
          <w:rFonts w:eastAsia="Times New Roman" w:cstheme="minorHAnsi"/>
          <w:b/>
          <w:bCs/>
        </w:rPr>
        <w:t>;</w:t>
      </w:r>
    </w:p>
    <w:p w14:paraId="5AE38621" w14:textId="78C90577" w:rsidR="00FB277C" w:rsidRPr="00F04FD1"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F04FD1">
        <w:rPr>
          <w:rFonts w:eastAsia="Times New Roman" w:cstheme="minorHAnsi"/>
          <w:sz w:val="36"/>
          <w:szCs w:val="20"/>
        </w:rPr>
        <w:t>Conclusion</w:t>
      </w:r>
      <w:bookmarkStart w:id="2" w:name="_Hlk85466326"/>
      <w:r w:rsidRPr="00F04FD1">
        <w:rPr>
          <w:rFonts w:eastAsia="Times New Roman" w:cstheme="minorHAnsi"/>
          <w:sz w:val="36"/>
          <w:szCs w:val="20"/>
        </w:rPr>
        <w:t>s</w:t>
      </w:r>
      <w:bookmarkEnd w:id="2"/>
      <w:r w:rsidRPr="00F04FD1">
        <w:rPr>
          <w:rFonts w:eastAsia="Times New Roman" w:cstheme="minorHAnsi"/>
          <w:b/>
          <w:bCs/>
        </w:rPr>
        <w:fldChar w:fldCharType="begin"/>
      </w:r>
      <w:r w:rsidRPr="00F04FD1">
        <w:rPr>
          <w:rFonts w:eastAsia="Times New Roman" w:cstheme="minorHAnsi"/>
          <w:b/>
          <w:bCs/>
        </w:rPr>
        <w:instrText xml:space="preserve"> SEQ Obs \h \r0 </w:instrText>
      </w:r>
      <w:r w:rsidRPr="00F04FD1">
        <w:rPr>
          <w:rFonts w:eastAsia="Times New Roman" w:cstheme="minorHAnsi"/>
          <w:b/>
          <w:bCs/>
        </w:rPr>
        <w:fldChar w:fldCharType="end"/>
      </w:r>
      <w:r w:rsidRPr="00F04FD1">
        <w:rPr>
          <w:rFonts w:eastAsia="Times New Roman" w:cstheme="minorHAnsi"/>
          <w:b/>
          <w:bCs/>
        </w:rPr>
        <w:fldChar w:fldCharType="begin"/>
      </w:r>
      <w:r w:rsidRPr="00F04FD1">
        <w:rPr>
          <w:rFonts w:eastAsia="Times New Roman" w:cstheme="minorHAnsi"/>
          <w:b/>
          <w:bCs/>
        </w:rPr>
        <w:instrText xml:space="preserve"> SEQ Props \h \r0</w:instrText>
      </w:r>
      <w:r w:rsidRPr="00F04FD1">
        <w:rPr>
          <w:rFonts w:eastAsia="Times New Roman" w:cstheme="minorHAnsi"/>
          <w:b/>
          <w:bCs/>
        </w:rPr>
        <w:fldChar w:fldCharType="end"/>
      </w:r>
    </w:p>
    <w:p w14:paraId="0209115F" w14:textId="0374967D" w:rsidR="001476A2" w:rsidRDefault="001476A2" w:rsidP="001476A2">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sidR="0097547E">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A requirement with Single path AWGN and a constant Doppler shift does not provide an increase in test coverage with respect to Single path AWGN only;</w:t>
      </w:r>
    </w:p>
    <w:p w14:paraId="30EC0E3A" w14:textId="4255D071" w:rsidR="001476A2" w:rsidRPr="00D37D38" w:rsidRDefault="001476A2" w:rsidP="001476A2">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sidR="0097547E">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Shortly after the test start, UE correction will have compensated for the constant Doppler shift, and the requirement will be mostly tested in absence of doppler shift, making the setup redundant;</w:t>
      </w:r>
    </w:p>
    <w:p w14:paraId="6AEAA10F" w14:textId="7DEC33AA" w:rsidR="001476A2" w:rsidRPr="00750F15" w:rsidRDefault="001476A2" w:rsidP="001476A2">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Do not consider Doppler shift in ATG UE Demod Requirements;</w:t>
      </w:r>
    </w:p>
    <w:p w14:paraId="4631B310" w14:textId="7A8A7721" w:rsidR="001476A2" w:rsidRPr="00740F0E" w:rsidRDefault="001476A2" w:rsidP="001476A2">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assume baseline ATG UE supports up to 16 HARQ processes;</w:t>
      </w:r>
    </w:p>
    <w:p w14:paraId="7BAF34F7" w14:textId="531D6DB9" w:rsidR="001476A2" w:rsidRPr="00750F15" w:rsidRDefault="001476A2" w:rsidP="001476A2">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3</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If RAN4 introduces ATG UE Demodulation requirements which require &gt;16 HARQ processes, these should be optional based on UE capability;</w:t>
      </w:r>
    </w:p>
    <w:p w14:paraId="0B8FE4DD" w14:textId="4F1D23EA" w:rsidR="001476A2" w:rsidRDefault="001476A2" w:rsidP="001476A2">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4</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assume TDD Pattern scheduling based on Cell-specific TDD configuration and UE-specific TDD configuration;</w:t>
      </w:r>
    </w:p>
    <w:p w14:paraId="2A4BB2F3" w14:textId="59980A82" w:rsidR="001476A2" w:rsidRDefault="001476A2" w:rsidP="001476A2">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5</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From the point of view of UE Demodulation, if the above TDD pattern scheduling is assumed, requirements can be defined with the reference Pattern of 7D1S2U; UE capabilities to handle difference TDD configurations will be tested in RRM and has no impact on UE baseband processing or performance;</w:t>
      </w:r>
    </w:p>
    <w:p w14:paraId="351CE4C0" w14:textId="4FCF3D1D" w:rsidR="001476A2" w:rsidRPr="00750F15" w:rsidRDefault="001476A2" w:rsidP="001476A2">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6</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should not define ATG UE Demodulation requirements with 30D4S6U TDD Slot Pattern;</w:t>
      </w:r>
    </w:p>
    <w:p w14:paraId="308076BD" w14:textId="2D97003E" w:rsidR="001476A2" w:rsidRPr="003E278C" w:rsidRDefault="001476A2" w:rsidP="001476A2">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7</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should </w:t>
      </w:r>
      <w:r w:rsidRPr="009C4ACB">
        <w:rPr>
          <w:rFonts w:eastAsia="Times New Roman" w:cstheme="minorHAnsi"/>
          <w:b/>
          <w:bCs/>
        </w:rPr>
        <w:t>not define new UE capability for Demodulation performance. If necessary, use new RF ATG Capability (ATG UE reports MOP);</w:t>
      </w:r>
    </w:p>
    <w:p w14:paraId="4B57F418" w14:textId="001B8BD6" w:rsidR="001476A2" w:rsidRDefault="001476A2" w:rsidP="001476A2">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8</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to consider the following legacy tests to be applicable to ATG UEs;</w:t>
      </w:r>
    </w:p>
    <w:p w14:paraId="083C28D8" w14:textId="77777777" w:rsidR="001476A2" w:rsidRDefault="001476A2" w:rsidP="001476A2">
      <w:pPr>
        <w:rPr>
          <w:b/>
          <w:bCs/>
          <w:lang w:val="en-GB"/>
        </w:rPr>
      </w:pPr>
      <w:r w:rsidRPr="00D57A0C">
        <w:rPr>
          <w:b/>
          <w:bCs/>
          <w:lang w:val="en-GB"/>
        </w:rPr>
        <w:t>Table 5.2.2.2.1-3 (R=1);</w:t>
      </w:r>
      <w:r>
        <w:rPr>
          <w:b/>
          <w:bCs/>
          <w:lang w:val="en-GB"/>
        </w:rPr>
        <w:tab/>
      </w:r>
    </w:p>
    <w:p w14:paraId="06F79E12" w14:textId="77777777" w:rsidR="001476A2" w:rsidRDefault="001476A2" w:rsidP="001476A2">
      <w:pPr>
        <w:pStyle w:val="ListParagraph"/>
        <w:numPr>
          <w:ilvl w:val="0"/>
          <w:numId w:val="17"/>
        </w:numPr>
        <w:rPr>
          <w:b/>
          <w:bCs/>
          <w:lang w:val="en-GB"/>
        </w:rPr>
      </w:pPr>
      <w:r w:rsidRPr="00D57A0C">
        <w:rPr>
          <w:b/>
          <w:bCs/>
          <w:lang w:val="en-GB"/>
        </w:rPr>
        <w:t>QPSK Test 1-1;</w:t>
      </w:r>
    </w:p>
    <w:p w14:paraId="6477C379" w14:textId="77777777" w:rsidR="001476A2" w:rsidRDefault="001476A2" w:rsidP="001476A2">
      <w:pPr>
        <w:pStyle w:val="ListParagraph"/>
        <w:numPr>
          <w:ilvl w:val="0"/>
          <w:numId w:val="17"/>
        </w:numPr>
        <w:rPr>
          <w:b/>
          <w:bCs/>
          <w:lang w:val="en-GB"/>
        </w:rPr>
      </w:pPr>
      <w:r w:rsidRPr="00D57A0C">
        <w:rPr>
          <w:b/>
          <w:bCs/>
          <w:lang w:val="en-GB"/>
        </w:rPr>
        <w:t>16QAM: Test 1-4;</w:t>
      </w:r>
      <w:r>
        <w:rPr>
          <w:b/>
          <w:bCs/>
          <w:lang w:val="en-GB"/>
        </w:rPr>
        <w:t xml:space="preserve"> </w:t>
      </w:r>
    </w:p>
    <w:p w14:paraId="6192D5DE" w14:textId="77777777" w:rsidR="001476A2" w:rsidRPr="00D57A0C" w:rsidRDefault="001476A2" w:rsidP="001476A2">
      <w:pPr>
        <w:pStyle w:val="ListParagraph"/>
        <w:numPr>
          <w:ilvl w:val="0"/>
          <w:numId w:val="17"/>
        </w:numPr>
        <w:rPr>
          <w:b/>
          <w:bCs/>
          <w:lang w:val="en-GB"/>
        </w:rPr>
      </w:pPr>
      <w:r w:rsidRPr="00D57A0C">
        <w:rPr>
          <w:b/>
          <w:bCs/>
          <w:lang w:val="en-GB"/>
        </w:rPr>
        <w:t>256QAM: Test 1-3;</w:t>
      </w:r>
    </w:p>
    <w:p w14:paraId="5923887A" w14:textId="77777777" w:rsidR="001476A2" w:rsidRPr="00D57A0C" w:rsidRDefault="001476A2" w:rsidP="001476A2">
      <w:pPr>
        <w:rPr>
          <w:b/>
          <w:bCs/>
          <w:lang w:val="en-GB"/>
        </w:rPr>
      </w:pPr>
      <w:r w:rsidRPr="00D57A0C">
        <w:rPr>
          <w:b/>
          <w:bCs/>
          <w:lang w:val="en-GB"/>
        </w:rPr>
        <w:t>Table 5.2.2.2.1-4 (R=2);</w:t>
      </w:r>
    </w:p>
    <w:p w14:paraId="4337A090" w14:textId="77777777" w:rsidR="001476A2" w:rsidRPr="00D57A0C" w:rsidRDefault="001476A2" w:rsidP="001476A2">
      <w:pPr>
        <w:pStyle w:val="ListParagraph"/>
        <w:numPr>
          <w:ilvl w:val="0"/>
          <w:numId w:val="17"/>
        </w:numPr>
        <w:rPr>
          <w:b/>
          <w:bCs/>
          <w:lang w:val="en-GB"/>
        </w:rPr>
      </w:pPr>
      <w:r w:rsidRPr="00D57A0C">
        <w:rPr>
          <w:b/>
          <w:bCs/>
          <w:lang w:val="en-GB"/>
        </w:rPr>
        <w:t>64QAM: Test 2-1</w:t>
      </w:r>
    </w:p>
    <w:p w14:paraId="481791E6" w14:textId="77777777" w:rsidR="001476A2" w:rsidRDefault="001476A2" w:rsidP="001476A2">
      <w:pPr>
        <w:rPr>
          <w:b/>
          <w:bCs/>
          <w:lang w:val="en-GB"/>
        </w:rPr>
      </w:pPr>
      <w:r>
        <w:rPr>
          <w:b/>
          <w:bCs/>
          <w:lang w:val="en-GB"/>
        </w:rPr>
        <w:t xml:space="preserve">Same tests </w:t>
      </w:r>
      <w:r w:rsidRPr="00D57A0C">
        <w:rPr>
          <w:b/>
          <w:bCs/>
          <w:lang w:val="en-GB"/>
        </w:rPr>
        <w:t>for FDD (Table</w:t>
      </w:r>
      <w:r>
        <w:rPr>
          <w:b/>
          <w:bCs/>
          <w:lang w:val="en-GB"/>
        </w:rPr>
        <w:t>s</w:t>
      </w:r>
      <w:r w:rsidRPr="00D57A0C">
        <w:rPr>
          <w:b/>
          <w:bCs/>
          <w:lang w:val="en-GB"/>
        </w:rPr>
        <w:t xml:space="preserve"> 5.2.2.1.1-3/4)</w:t>
      </w:r>
      <w:r>
        <w:rPr>
          <w:b/>
          <w:bCs/>
          <w:lang w:val="en-GB"/>
        </w:rPr>
        <w:t>;</w:t>
      </w:r>
    </w:p>
    <w:p w14:paraId="7DE1D1EA" w14:textId="3D606657" w:rsidR="008E6092" w:rsidRDefault="008E6092" w:rsidP="008E6092">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9</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Do not consider in the ATG scope legacy PDCCH requirements;</w:t>
      </w:r>
    </w:p>
    <w:p w14:paraId="5B3EF6F1" w14:textId="40919B75" w:rsidR="008E6092" w:rsidRPr="00980E1F" w:rsidRDefault="008E6092" w:rsidP="008E6092">
      <w:r w:rsidRPr="00F04FD1">
        <w:rPr>
          <w:rFonts w:eastAsia="Times New Roman" w:cstheme="minorHAnsi"/>
          <w:b/>
          <w:bCs/>
        </w:rPr>
        <w:lastRenderedPageBreak/>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97547E">
        <w:rPr>
          <w:rFonts w:eastAsia="Times New Roman" w:cstheme="minorHAnsi"/>
          <w:b/>
          <w:bCs/>
          <w:noProof/>
        </w:rPr>
        <w:t>10</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Do not consider in the ATG scope legacy CSI reporting requirements;</w:t>
      </w:r>
    </w:p>
    <w:p w14:paraId="1B85FA58" w14:textId="77777777" w:rsidR="008E6092" w:rsidRPr="008E6092" w:rsidRDefault="008E6092" w:rsidP="001476A2"/>
    <w:p w14:paraId="5A26938F" w14:textId="77777777" w:rsidR="00FB277C" w:rsidRPr="00F04FD1"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F04FD1">
        <w:rPr>
          <w:rFonts w:eastAsia="Times New Roman" w:cstheme="minorHAnsi"/>
          <w:sz w:val="36"/>
          <w:szCs w:val="20"/>
        </w:rPr>
        <w:t>References</w:t>
      </w:r>
    </w:p>
    <w:p w14:paraId="11C7DB37" w14:textId="13C4F648" w:rsidR="00E04262" w:rsidRPr="00D31672" w:rsidRDefault="00E04262" w:rsidP="00D31672">
      <w:pPr>
        <w:tabs>
          <w:tab w:val="left" w:pos="1770"/>
          <w:tab w:val="center" w:pos="4557"/>
        </w:tabs>
        <w:spacing w:after="180"/>
        <w:rPr>
          <w:rFonts w:ascii="Arial" w:eastAsia="Yu Mincho Light" w:hAnsi="Arial" w:cs="Arial"/>
          <w:b/>
          <w:szCs w:val="24"/>
          <w:lang w:eastAsia="zh-CN"/>
        </w:rPr>
      </w:pPr>
      <w:r w:rsidRPr="00F04FD1">
        <w:rPr>
          <w:rFonts w:cstheme="minorHAnsi"/>
          <w:sz w:val="24"/>
          <w:szCs w:val="24"/>
        </w:rPr>
        <w:t xml:space="preserve">[1] </w:t>
      </w:r>
      <w:r w:rsidR="000622FA" w:rsidRPr="000622FA">
        <w:rPr>
          <w:rFonts w:cstheme="minorHAnsi"/>
          <w:sz w:val="24"/>
          <w:szCs w:val="24"/>
        </w:rPr>
        <w:t>R4-2309796</w:t>
      </w:r>
      <w:r w:rsidR="000622FA">
        <w:rPr>
          <w:rFonts w:cstheme="minorHAnsi"/>
          <w:sz w:val="24"/>
          <w:szCs w:val="24"/>
        </w:rPr>
        <w:t>, “</w:t>
      </w:r>
      <w:bookmarkStart w:id="3" w:name="_Hlk41145953"/>
      <w:r w:rsidR="00D31672" w:rsidRPr="00D31672">
        <w:rPr>
          <w:rFonts w:ascii="Arial" w:eastAsia="Yu Mincho Light" w:hAnsi="Arial" w:cs="Arial"/>
          <w:szCs w:val="24"/>
          <w:lang w:eastAsia="zh-CN"/>
        </w:rPr>
        <w:t xml:space="preserve">WF for ATG </w:t>
      </w:r>
      <w:bookmarkEnd w:id="3"/>
      <w:r w:rsidR="00D31672" w:rsidRPr="00D31672">
        <w:rPr>
          <w:rFonts w:ascii="Arial" w:eastAsia="Yu Mincho Light" w:hAnsi="Arial" w:cs="Arial"/>
          <w:szCs w:val="24"/>
          <w:lang w:eastAsia="zh-CN"/>
        </w:rPr>
        <w:t>demodulation requirements</w:t>
      </w:r>
      <w:r w:rsidR="000622FA">
        <w:rPr>
          <w:rFonts w:cstheme="minorHAnsi"/>
          <w:sz w:val="24"/>
          <w:szCs w:val="24"/>
        </w:rPr>
        <w:t>”</w:t>
      </w:r>
      <w:r w:rsidR="00D31672">
        <w:rPr>
          <w:rFonts w:cstheme="minorHAnsi"/>
          <w:sz w:val="24"/>
          <w:szCs w:val="24"/>
        </w:rPr>
        <w:t xml:space="preserve">, </w:t>
      </w:r>
      <w:r w:rsidR="00ED0300" w:rsidRPr="00ED0300">
        <w:rPr>
          <w:rFonts w:cstheme="minorHAnsi"/>
          <w:sz w:val="24"/>
          <w:szCs w:val="24"/>
        </w:rPr>
        <w:t>3GPP TSG-RAN WG4 Meeting # 107</w:t>
      </w:r>
      <w:r w:rsidR="00ED0300">
        <w:rPr>
          <w:rFonts w:cstheme="minorHAnsi"/>
          <w:sz w:val="24"/>
          <w:szCs w:val="24"/>
        </w:rPr>
        <w:t>,</w:t>
      </w:r>
      <w:r w:rsidR="00233B77">
        <w:rPr>
          <w:rFonts w:cstheme="minorHAnsi"/>
          <w:sz w:val="24"/>
          <w:szCs w:val="24"/>
        </w:rPr>
        <w:t xml:space="preserve"> </w:t>
      </w:r>
      <w:r w:rsidR="00233B77" w:rsidRPr="00233B77">
        <w:rPr>
          <w:rFonts w:cstheme="minorHAnsi"/>
          <w:sz w:val="24"/>
          <w:szCs w:val="24"/>
        </w:rPr>
        <w:t>Incheon, KR, May 22 – May 26, 2023</w:t>
      </w:r>
      <w:r w:rsidR="00C179B6">
        <w:rPr>
          <w:rFonts w:cstheme="minorHAnsi"/>
          <w:sz w:val="24"/>
          <w:szCs w:val="24"/>
        </w:rPr>
        <w:t>;</w:t>
      </w:r>
    </w:p>
    <w:p w14:paraId="3D8EF989" w14:textId="72E9BE2C" w:rsidR="008F7905" w:rsidRPr="00F04FD1" w:rsidRDefault="008F7905" w:rsidP="00FB277C">
      <w:pPr>
        <w:rPr>
          <w:rFonts w:eastAsia="Times New Roman" w:cstheme="minorHAnsi"/>
          <w:sz w:val="24"/>
          <w:szCs w:val="24"/>
        </w:rPr>
      </w:pPr>
    </w:p>
    <w:sectPr w:rsidR="008F7905" w:rsidRPr="00F04FD1" w:rsidSect="00EA46F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7942F" w14:textId="77777777" w:rsidR="00EF00A3" w:rsidRDefault="00EF00A3">
      <w:pPr>
        <w:spacing w:after="0" w:line="240" w:lineRule="auto"/>
      </w:pPr>
      <w:r>
        <w:separator/>
      </w:r>
    </w:p>
  </w:endnote>
  <w:endnote w:type="continuationSeparator" w:id="0">
    <w:p w14:paraId="142444CE" w14:textId="77777777" w:rsidR="00EF00A3" w:rsidRDefault="00EF0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Light">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9754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97547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CA10E" w14:textId="77777777" w:rsidR="00EF00A3" w:rsidRDefault="00EF00A3">
      <w:pPr>
        <w:spacing w:after="0" w:line="240" w:lineRule="auto"/>
      </w:pPr>
      <w:r>
        <w:separator/>
      </w:r>
    </w:p>
  </w:footnote>
  <w:footnote w:type="continuationSeparator" w:id="0">
    <w:p w14:paraId="0D8A4FA3" w14:textId="77777777" w:rsidR="00EF00A3" w:rsidRDefault="00EF00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CA0D67"/>
    <w:multiLevelType w:val="hybridMultilevel"/>
    <w:tmpl w:val="999C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142B16"/>
    <w:multiLevelType w:val="hybridMultilevel"/>
    <w:tmpl w:val="C434B396"/>
    <w:lvl w:ilvl="0" w:tplc="7164A85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44F59F0"/>
    <w:multiLevelType w:val="multilevel"/>
    <w:tmpl w:val="39247460"/>
    <w:lvl w:ilvl="0">
      <w:start w:val="1"/>
      <w:numFmt w:val="decimal"/>
      <w:pStyle w:val="Heading1"/>
      <w:lvlText w:val="%1."/>
      <w:lvlJc w:val="left"/>
      <w:pPr>
        <w:tabs>
          <w:tab w:val="num" w:pos="7902"/>
        </w:tabs>
        <w:ind w:left="790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E555516"/>
    <w:multiLevelType w:val="hybridMultilevel"/>
    <w:tmpl w:val="3FBEE766"/>
    <w:lvl w:ilvl="0" w:tplc="BCD6EA26">
      <w:start w:val="5"/>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6"/>
  </w:num>
  <w:num w:numId="2" w16cid:durableId="931204953">
    <w:abstractNumId w:val="14"/>
  </w:num>
  <w:num w:numId="3" w16cid:durableId="560822582">
    <w:abstractNumId w:val="15"/>
  </w:num>
  <w:num w:numId="4" w16cid:durableId="2008247555">
    <w:abstractNumId w:val="17"/>
  </w:num>
  <w:num w:numId="5" w16cid:durableId="811797267">
    <w:abstractNumId w:val="3"/>
  </w:num>
  <w:num w:numId="6" w16cid:durableId="1050306330">
    <w:abstractNumId w:val="11"/>
  </w:num>
  <w:num w:numId="7" w16cid:durableId="1986933688">
    <w:abstractNumId w:val="2"/>
  </w:num>
  <w:num w:numId="8" w16cid:durableId="1100488873">
    <w:abstractNumId w:val="5"/>
  </w:num>
  <w:num w:numId="9" w16cid:durableId="2095323162">
    <w:abstractNumId w:val="16"/>
  </w:num>
  <w:num w:numId="10" w16cid:durableId="2037807686">
    <w:abstractNumId w:val="0"/>
  </w:num>
  <w:num w:numId="11" w16cid:durableId="1317144994">
    <w:abstractNumId w:val="8"/>
  </w:num>
  <w:num w:numId="12" w16cid:durableId="437406013">
    <w:abstractNumId w:val="12"/>
  </w:num>
  <w:num w:numId="13" w16cid:durableId="708183368">
    <w:abstractNumId w:val="13"/>
  </w:num>
  <w:num w:numId="14" w16cid:durableId="301735729">
    <w:abstractNumId w:val="1"/>
  </w:num>
  <w:num w:numId="15" w16cid:durableId="1540126573">
    <w:abstractNumId w:val="9"/>
  </w:num>
  <w:num w:numId="16" w16cid:durableId="7103750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4516633">
    <w:abstractNumId w:val="10"/>
  </w:num>
  <w:num w:numId="18" w16cid:durableId="1964996943">
    <w:abstractNumId w:val="4"/>
  </w:num>
  <w:num w:numId="19" w16cid:durableId="8814062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10147"/>
    <w:rsid w:val="00014DC4"/>
    <w:rsid w:val="00014EE9"/>
    <w:rsid w:val="00014F74"/>
    <w:rsid w:val="00015102"/>
    <w:rsid w:val="000226A2"/>
    <w:rsid w:val="00022CEF"/>
    <w:rsid w:val="00024141"/>
    <w:rsid w:val="00025B38"/>
    <w:rsid w:val="00026156"/>
    <w:rsid w:val="00026F79"/>
    <w:rsid w:val="0002738D"/>
    <w:rsid w:val="0003007D"/>
    <w:rsid w:val="00030BC0"/>
    <w:rsid w:val="00031370"/>
    <w:rsid w:val="00031D5A"/>
    <w:rsid w:val="00032075"/>
    <w:rsid w:val="0003251D"/>
    <w:rsid w:val="00034B1D"/>
    <w:rsid w:val="00041C2D"/>
    <w:rsid w:val="000423E4"/>
    <w:rsid w:val="00046E31"/>
    <w:rsid w:val="000528DF"/>
    <w:rsid w:val="00052926"/>
    <w:rsid w:val="00052B72"/>
    <w:rsid w:val="00054C72"/>
    <w:rsid w:val="0005576C"/>
    <w:rsid w:val="00056FD8"/>
    <w:rsid w:val="000578E9"/>
    <w:rsid w:val="00057BDD"/>
    <w:rsid w:val="00057F82"/>
    <w:rsid w:val="000619B9"/>
    <w:rsid w:val="00061B38"/>
    <w:rsid w:val="00061FC8"/>
    <w:rsid w:val="000622FA"/>
    <w:rsid w:val="00063781"/>
    <w:rsid w:val="00065FB9"/>
    <w:rsid w:val="000668DA"/>
    <w:rsid w:val="00066F9C"/>
    <w:rsid w:val="00067AB6"/>
    <w:rsid w:val="000720A0"/>
    <w:rsid w:val="00072706"/>
    <w:rsid w:val="000727A9"/>
    <w:rsid w:val="000752F9"/>
    <w:rsid w:val="000772FD"/>
    <w:rsid w:val="00080350"/>
    <w:rsid w:val="00080870"/>
    <w:rsid w:val="0008259A"/>
    <w:rsid w:val="00082DBD"/>
    <w:rsid w:val="00084299"/>
    <w:rsid w:val="00085EE5"/>
    <w:rsid w:val="000864C7"/>
    <w:rsid w:val="000865B6"/>
    <w:rsid w:val="000938FA"/>
    <w:rsid w:val="00093D52"/>
    <w:rsid w:val="0009487F"/>
    <w:rsid w:val="000A20FD"/>
    <w:rsid w:val="000A3F3D"/>
    <w:rsid w:val="000A4C08"/>
    <w:rsid w:val="000A5E9C"/>
    <w:rsid w:val="000A7440"/>
    <w:rsid w:val="000B0CA1"/>
    <w:rsid w:val="000B168D"/>
    <w:rsid w:val="000B29C4"/>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525C"/>
    <w:rsid w:val="000E0843"/>
    <w:rsid w:val="000E14AE"/>
    <w:rsid w:val="000E2F12"/>
    <w:rsid w:val="000E48BA"/>
    <w:rsid w:val="000E4B4B"/>
    <w:rsid w:val="000E564F"/>
    <w:rsid w:val="000F3306"/>
    <w:rsid w:val="000F5519"/>
    <w:rsid w:val="000F5714"/>
    <w:rsid w:val="000F5DDB"/>
    <w:rsid w:val="001025F8"/>
    <w:rsid w:val="00102E94"/>
    <w:rsid w:val="0010315C"/>
    <w:rsid w:val="00103E35"/>
    <w:rsid w:val="001040C3"/>
    <w:rsid w:val="00106D49"/>
    <w:rsid w:val="00111B24"/>
    <w:rsid w:val="00111BB5"/>
    <w:rsid w:val="001120BC"/>
    <w:rsid w:val="00113226"/>
    <w:rsid w:val="00113488"/>
    <w:rsid w:val="00114297"/>
    <w:rsid w:val="00114A67"/>
    <w:rsid w:val="00114F11"/>
    <w:rsid w:val="001204A3"/>
    <w:rsid w:val="0012099C"/>
    <w:rsid w:val="00121332"/>
    <w:rsid w:val="00121EC3"/>
    <w:rsid w:val="00122933"/>
    <w:rsid w:val="00123017"/>
    <w:rsid w:val="001243B0"/>
    <w:rsid w:val="00125C28"/>
    <w:rsid w:val="00125E35"/>
    <w:rsid w:val="001316FD"/>
    <w:rsid w:val="00134F58"/>
    <w:rsid w:val="001400C8"/>
    <w:rsid w:val="00141654"/>
    <w:rsid w:val="001462DA"/>
    <w:rsid w:val="001476A2"/>
    <w:rsid w:val="001477B0"/>
    <w:rsid w:val="00147D94"/>
    <w:rsid w:val="00151EFE"/>
    <w:rsid w:val="001524D9"/>
    <w:rsid w:val="001567FA"/>
    <w:rsid w:val="00157001"/>
    <w:rsid w:val="001603A8"/>
    <w:rsid w:val="00161436"/>
    <w:rsid w:val="00161E82"/>
    <w:rsid w:val="00163277"/>
    <w:rsid w:val="0016534F"/>
    <w:rsid w:val="0017540D"/>
    <w:rsid w:val="001761A3"/>
    <w:rsid w:val="001762C4"/>
    <w:rsid w:val="00177017"/>
    <w:rsid w:val="00180A88"/>
    <w:rsid w:val="00186B52"/>
    <w:rsid w:val="0019013C"/>
    <w:rsid w:val="0019137F"/>
    <w:rsid w:val="00191D62"/>
    <w:rsid w:val="001946EB"/>
    <w:rsid w:val="0019578A"/>
    <w:rsid w:val="00196BC2"/>
    <w:rsid w:val="001A0D7D"/>
    <w:rsid w:val="001A11A7"/>
    <w:rsid w:val="001A2384"/>
    <w:rsid w:val="001A31AA"/>
    <w:rsid w:val="001A38E0"/>
    <w:rsid w:val="001B1A76"/>
    <w:rsid w:val="001B1B59"/>
    <w:rsid w:val="001B41A4"/>
    <w:rsid w:val="001B68FF"/>
    <w:rsid w:val="001B7D8C"/>
    <w:rsid w:val="001C1495"/>
    <w:rsid w:val="001C3453"/>
    <w:rsid w:val="001C3EE2"/>
    <w:rsid w:val="001C41D1"/>
    <w:rsid w:val="001C47A4"/>
    <w:rsid w:val="001C63EE"/>
    <w:rsid w:val="001C6406"/>
    <w:rsid w:val="001C64D1"/>
    <w:rsid w:val="001C6FD6"/>
    <w:rsid w:val="001C72B6"/>
    <w:rsid w:val="001D16C3"/>
    <w:rsid w:val="001D265A"/>
    <w:rsid w:val="001D2B47"/>
    <w:rsid w:val="001D6979"/>
    <w:rsid w:val="001D6A66"/>
    <w:rsid w:val="001D6B29"/>
    <w:rsid w:val="001E1F1C"/>
    <w:rsid w:val="001E3C99"/>
    <w:rsid w:val="001E3D10"/>
    <w:rsid w:val="001E3E7D"/>
    <w:rsid w:val="001E4863"/>
    <w:rsid w:val="001E49C7"/>
    <w:rsid w:val="001E6BA5"/>
    <w:rsid w:val="001E7361"/>
    <w:rsid w:val="001F13FA"/>
    <w:rsid w:val="001F1F5E"/>
    <w:rsid w:val="001F2264"/>
    <w:rsid w:val="001F22FE"/>
    <w:rsid w:val="001F2A16"/>
    <w:rsid w:val="001F5AAE"/>
    <w:rsid w:val="00200E8E"/>
    <w:rsid w:val="002022FF"/>
    <w:rsid w:val="00203872"/>
    <w:rsid w:val="002045D0"/>
    <w:rsid w:val="00211527"/>
    <w:rsid w:val="00212036"/>
    <w:rsid w:val="00214B0C"/>
    <w:rsid w:val="00215BE3"/>
    <w:rsid w:val="002250A1"/>
    <w:rsid w:val="0022515B"/>
    <w:rsid w:val="002252BC"/>
    <w:rsid w:val="002316C3"/>
    <w:rsid w:val="00231D05"/>
    <w:rsid w:val="00233329"/>
    <w:rsid w:val="002334A7"/>
    <w:rsid w:val="00233B77"/>
    <w:rsid w:val="002345AC"/>
    <w:rsid w:val="00236158"/>
    <w:rsid w:val="00236C1E"/>
    <w:rsid w:val="00237711"/>
    <w:rsid w:val="00237B31"/>
    <w:rsid w:val="002428FE"/>
    <w:rsid w:val="002435EF"/>
    <w:rsid w:val="0024430A"/>
    <w:rsid w:val="0024536F"/>
    <w:rsid w:val="0024660E"/>
    <w:rsid w:val="00246DC6"/>
    <w:rsid w:val="002523F2"/>
    <w:rsid w:val="00256BC4"/>
    <w:rsid w:val="00261D71"/>
    <w:rsid w:val="002636C8"/>
    <w:rsid w:val="00267822"/>
    <w:rsid w:val="002706CB"/>
    <w:rsid w:val="00270CD7"/>
    <w:rsid w:val="00274FEC"/>
    <w:rsid w:val="00275EC3"/>
    <w:rsid w:val="00276A3E"/>
    <w:rsid w:val="00282778"/>
    <w:rsid w:val="00282DA3"/>
    <w:rsid w:val="002831D7"/>
    <w:rsid w:val="00283456"/>
    <w:rsid w:val="00283599"/>
    <w:rsid w:val="00284091"/>
    <w:rsid w:val="0028677E"/>
    <w:rsid w:val="00286DD7"/>
    <w:rsid w:val="00287B93"/>
    <w:rsid w:val="00290161"/>
    <w:rsid w:val="002941D6"/>
    <w:rsid w:val="002945E9"/>
    <w:rsid w:val="00294791"/>
    <w:rsid w:val="00294C7C"/>
    <w:rsid w:val="00297B98"/>
    <w:rsid w:val="002A3774"/>
    <w:rsid w:val="002A76CE"/>
    <w:rsid w:val="002B06B0"/>
    <w:rsid w:val="002B26A7"/>
    <w:rsid w:val="002B2755"/>
    <w:rsid w:val="002B2E6D"/>
    <w:rsid w:val="002B449C"/>
    <w:rsid w:val="002B58F1"/>
    <w:rsid w:val="002C1FC8"/>
    <w:rsid w:val="002C32F0"/>
    <w:rsid w:val="002C371F"/>
    <w:rsid w:val="002C47A2"/>
    <w:rsid w:val="002C6517"/>
    <w:rsid w:val="002D0C26"/>
    <w:rsid w:val="002D0EB8"/>
    <w:rsid w:val="002D3D5F"/>
    <w:rsid w:val="002D4938"/>
    <w:rsid w:val="002D62C8"/>
    <w:rsid w:val="002E0C5E"/>
    <w:rsid w:val="002E1FE6"/>
    <w:rsid w:val="002E572C"/>
    <w:rsid w:val="002E5BDA"/>
    <w:rsid w:val="002E7894"/>
    <w:rsid w:val="002E7B15"/>
    <w:rsid w:val="002F0628"/>
    <w:rsid w:val="002F347E"/>
    <w:rsid w:val="002F45E5"/>
    <w:rsid w:val="002F4FB4"/>
    <w:rsid w:val="002F5A73"/>
    <w:rsid w:val="003002CF"/>
    <w:rsid w:val="00306CB3"/>
    <w:rsid w:val="00307018"/>
    <w:rsid w:val="0030747F"/>
    <w:rsid w:val="003077A1"/>
    <w:rsid w:val="00310C0B"/>
    <w:rsid w:val="00310E81"/>
    <w:rsid w:val="00311AE7"/>
    <w:rsid w:val="0031392F"/>
    <w:rsid w:val="00315332"/>
    <w:rsid w:val="003153AF"/>
    <w:rsid w:val="00315E4E"/>
    <w:rsid w:val="0031664B"/>
    <w:rsid w:val="00316975"/>
    <w:rsid w:val="00317394"/>
    <w:rsid w:val="0032533A"/>
    <w:rsid w:val="00325B25"/>
    <w:rsid w:val="003279C1"/>
    <w:rsid w:val="00330089"/>
    <w:rsid w:val="00330BF7"/>
    <w:rsid w:val="00331B53"/>
    <w:rsid w:val="00333C98"/>
    <w:rsid w:val="00334382"/>
    <w:rsid w:val="00335182"/>
    <w:rsid w:val="003410B0"/>
    <w:rsid w:val="003411DA"/>
    <w:rsid w:val="00341D9A"/>
    <w:rsid w:val="003470A2"/>
    <w:rsid w:val="00347D81"/>
    <w:rsid w:val="003504BB"/>
    <w:rsid w:val="0035111D"/>
    <w:rsid w:val="00351721"/>
    <w:rsid w:val="00351B3F"/>
    <w:rsid w:val="003521D1"/>
    <w:rsid w:val="0035662A"/>
    <w:rsid w:val="00361594"/>
    <w:rsid w:val="003656FB"/>
    <w:rsid w:val="00366077"/>
    <w:rsid w:val="00366150"/>
    <w:rsid w:val="0037112E"/>
    <w:rsid w:val="00372EA0"/>
    <w:rsid w:val="00373FA5"/>
    <w:rsid w:val="003770D6"/>
    <w:rsid w:val="003773DE"/>
    <w:rsid w:val="003817DC"/>
    <w:rsid w:val="003841EE"/>
    <w:rsid w:val="00385A01"/>
    <w:rsid w:val="003864A8"/>
    <w:rsid w:val="003868E9"/>
    <w:rsid w:val="00386D4B"/>
    <w:rsid w:val="00387E4F"/>
    <w:rsid w:val="003921C5"/>
    <w:rsid w:val="003939E3"/>
    <w:rsid w:val="00393ED7"/>
    <w:rsid w:val="00393F97"/>
    <w:rsid w:val="00396F03"/>
    <w:rsid w:val="00397E8C"/>
    <w:rsid w:val="003A1824"/>
    <w:rsid w:val="003A3FAA"/>
    <w:rsid w:val="003A41A7"/>
    <w:rsid w:val="003A515D"/>
    <w:rsid w:val="003A70B0"/>
    <w:rsid w:val="003A7478"/>
    <w:rsid w:val="003A74FE"/>
    <w:rsid w:val="003B0F9E"/>
    <w:rsid w:val="003B0FAA"/>
    <w:rsid w:val="003B103F"/>
    <w:rsid w:val="003B25B6"/>
    <w:rsid w:val="003B27A8"/>
    <w:rsid w:val="003B33A4"/>
    <w:rsid w:val="003B7969"/>
    <w:rsid w:val="003D07A6"/>
    <w:rsid w:val="003D0F92"/>
    <w:rsid w:val="003D377E"/>
    <w:rsid w:val="003D3B3C"/>
    <w:rsid w:val="003D3B4A"/>
    <w:rsid w:val="003E01F9"/>
    <w:rsid w:val="003E1914"/>
    <w:rsid w:val="003E2205"/>
    <w:rsid w:val="003E278C"/>
    <w:rsid w:val="003E2B8B"/>
    <w:rsid w:val="003E44A2"/>
    <w:rsid w:val="003E5D72"/>
    <w:rsid w:val="003E5E9F"/>
    <w:rsid w:val="003E5F0E"/>
    <w:rsid w:val="003E7259"/>
    <w:rsid w:val="003E7A08"/>
    <w:rsid w:val="003F0BFE"/>
    <w:rsid w:val="003F180B"/>
    <w:rsid w:val="003F1AEB"/>
    <w:rsid w:val="003F2A26"/>
    <w:rsid w:val="003F2AC0"/>
    <w:rsid w:val="003F349C"/>
    <w:rsid w:val="003F5513"/>
    <w:rsid w:val="0040026B"/>
    <w:rsid w:val="00401D32"/>
    <w:rsid w:val="00401F1C"/>
    <w:rsid w:val="00403499"/>
    <w:rsid w:val="0040351D"/>
    <w:rsid w:val="00403DBB"/>
    <w:rsid w:val="004041F8"/>
    <w:rsid w:val="00407C7A"/>
    <w:rsid w:val="004122DA"/>
    <w:rsid w:val="00413B11"/>
    <w:rsid w:val="00416B6D"/>
    <w:rsid w:val="00420449"/>
    <w:rsid w:val="0042159E"/>
    <w:rsid w:val="004215F1"/>
    <w:rsid w:val="00421998"/>
    <w:rsid w:val="00422DCB"/>
    <w:rsid w:val="0043331F"/>
    <w:rsid w:val="0043341D"/>
    <w:rsid w:val="00435644"/>
    <w:rsid w:val="004361CD"/>
    <w:rsid w:val="00440128"/>
    <w:rsid w:val="0044227C"/>
    <w:rsid w:val="00442D81"/>
    <w:rsid w:val="004463DC"/>
    <w:rsid w:val="00446D2A"/>
    <w:rsid w:val="00447D5B"/>
    <w:rsid w:val="00450BB7"/>
    <w:rsid w:val="00451D41"/>
    <w:rsid w:val="004520CF"/>
    <w:rsid w:val="00452591"/>
    <w:rsid w:val="00453AC9"/>
    <w:rsid w:val="00455258"/>
    <w:rsid w:val="004569EC"/>
    <w:rsid w:val="00457035"/>
    <w:rsid w:val="00457118"/>
    <w:rsid w:val="00462EDB"/>
    <w:rsid w:val="004635A4"/>
    <w:rsid w:val="00463DC4"/>
    <w:rsid w:val="00463DE3"/>
    <w:rsid w:val="004648B8"/>
    <w:rsid w:val="00471224"/>
    <w:rsid w:val="004713D9"/>
    <w:rsid w:val="00473A25"/>
    <w:rsid w:val="00474837"/>
    <w:rsid w:val="00477180"/>
    <w:rsid w:val="004776FE"/>
    <w:rsid w:val="00480204"/>
    <w:rsid w:val="00481F60"/>
    <w:rsid w:val="00486BCF"/>
    <w:rsid w:val="004871D2"/>
    <w:rsid w:val="00490842"/>
    <w:rsid w:val="0049316B"/>
    <w:rsid w:val="004943AF"/>
    <w:rsid w:val="004A12BC"/>
    <w:rsid w:val="004A25B7"/>
    <w:rsid w:val="004A4CF6"/>
    <w:rsid w:val="004A5B01"/>
    <w:rsid w:val="004A5EF0"/>
    <w:rsid w:val="004A64B2"/>
    <w:rsid w:val="004B001A"/>
    <w:rsid w:val="004B0B1E"/>
    <w:rsid w:val="004B0DB6"/>
    <w:rsid w:val="004B691D"/>
    <w:rsid w:val="004B7786"/>
    <w:rsid w:val="004C01E4"/>
    <w:rsid w:val="004C03D8"/>
    <w:rsid w:val="004C2206"/>
    <w:rsid w:val="004C3E06"/>
    <w:rsid w:val="004C4168"/>
    <w:rsid w:val="004C4E62"/>
    <w:rsid w:val="004C6977"/>
    <w:rsid w:val="004D001B"/>
    <w:rsid w:val="004D0212"/>
    <w:rsid w:val="004D2C5F"/>
    <w:rsid w:val="004D3600"/>
    <w:rsid w:val="004D3C12"/>
    <w:rsid w:val="004D3D42"/>
    <w:rsid w:val="004D480F"/>
    <w:rsid w:val="004E08BD"/>
    <w:rsid w:val="004E26BB"/>
    <w:rsid w:val="004E2D90"/>
    <w:rsid w:val="004E3EB9"/>
    <w:rsid w:val="004E43CF"/>
    <w:rsid w:val="004E583D"/>
    <w:rsid w:val="004E790B"/>
    <w:rsid w:val="004F0796"/>
    <w:rsid w:val="004F0FDF"/>
    <w:rsid w:val="004F35C4"/>
    <w:rsid w:val="004F6E7A"/>
    <w:rsid w:val="00502A72"/>
    <w:rsid w:val="00502EA9"/>
    <w:rsid w:val="005049C3"/>
    <w:rsid w:val="005050E5"/>
    <w:rsid w:val="005064D2"/>
    <w:rsid w:val="00511A8D"/>
    <w:rsid w:val="005153B6"/>
    <w:rsid w:val="00517289"/>
    <w:rsid w:val="00517DC0"/>
    <w:rsid w:val="00520B70"/>
    <w:rsid w:val="00520F0F"/>
    <w:rsid w:val="00521ABD"/>
    <w:rsid w:val="00522B13"/>
    <w:rsid w:val="00526413"/>
    <w:rsid w:val="00527AEF"/>
    <w:rsid w:val="00527E14"/>
    <w:rsid w:val="00530AF2"/>
    <w:rsid w:val="00530E01"/>
    <w:rsid w:val="0053368D"/>
    <w:rsid w:val="0053677E"/>
    <w:rsid w:val="00540637"/>
    <w:rsid w:val="0054616B"/>
    <w:rsid w:val="0054619B"/>
    <w:rsid w:val="00546941"/>
    <w:rsid w:val="00546D4B"/>
    <w:rsid w:val="0055157B"/>
    <w:rsid w:val="00551F67"/>
    <w:rsid w:val="005521E7"/>
    <w:rsid w:val="00553839"/>
    <w:rsid w:val="00553DF3"/>
    <w:rsid w:val="005541A7"/>
    <w:rsid w:val="00555335"/>
    <w:rsid w:val="00561600"/>
    <w:rsid w:val="0056284D"/>
    <w:rsid w:val="0056293E"/>
    <w:rsid w:val="00562C10"/>
    <w:rsid w:val="0056369F"/>
    <w:rsid w:val="00563EF3"/>
    <w:rsid w:val="0056512E"/>
    <w:rsid w:val="00565CFC"/>
    <w:rsid w:val="00565FAB"/>
    <w:rsid w:val="0056768B"/>
    <w:rsid w:val="005676C6"/>
    <w:rsid w:val="00572A33"/>
    <w:rsid w:val="00572ADB"/>
    <w:rsid w:val="005758F1"/>
    <w:rsid w:val="0057598C"/>
    <w:rsid w:val="005771F4"/>
    <w:rsid w:val="00577D09"/>
    <w:rsid w:val="0058084C"/>
    <w:rsid w:val="00581312"/>
    <w:rsid w:val="00582EC7"/>
    <w:rsid w:val="005840DD"/>
    <w:rsid w:val="00586DF6"/>
    <w:rsid w:val="005872EF"/>
    <w:rsid w:val="0058762F"/>
    <w:rsid w:val="005877D1"/>
    <w:rsid w:val="00591209"/>
    <w:rsid w:val="00592217"/>
    <w:rsid w:val="00592313"/>
    <w:rsid w:val="0059727D"/>
    <w:rsid w:val="00597E76"/>
    <w:rsid w:val="005A044F"/>
    <w:rsid w:val="005A09E8"/>
    <w:rsid w:val="005A2079"/>
    <w:rsid w:val="005A20FE"/>
    <w:rsid w:val="005A4FAF"/>
    <w:rsid w:val="005A6064"/>
    <w:rsid w:val="005A7355"/>
    <w:rsid w:val="005B03FC"/>
    <w:rsid w:val="005B0C82"/>
    <w:rsid w:val="005B233C"/>
    <w:rsid w:val="005B2855"/>
    <w:rsid w:val="005B2ED7"/>
    <w:rsid w:val="005B3875"/>
    <w:rsid w:val="005B38FC"/>
    <w:rsid w:val="005B5089"/>
    <w:rsid w:val="005B58CD"/>
    <w:rsid w:val="005B5F00"/>
    <w:rsid w:val="005B7650"/>
    <w:rsid w:val="005C0635"/>
    <w:rsid w:val="005C1DB1"/>
    <w:rsid w:val="005C2C08"/>
    <w:rsid w:val="005C3074"/>
    <w:rsid w:val="005C3583"/>
    <w:rsid w:val="005C55AF"/>
    <w:rsid w:val="005C68B2"/>
    <w:rsid w:val="005C7817"/>
    <w:rsid w:val="005D015D"/>
    <w:rsid w:val="005D019E"/>
    <w:rsid w:val="005D2E6C"/>
    <w:rsid w:val="005D4494"/>
    <w:rsid w:val="005D4586"/>
    <w:rsid w:val="005D563F"/>
    <w:rsid w:val="005D612D"/>
    <w:rsid w:val="005E14A9"/>
    <w:rsid w:val="005E2CFA"/>
    <w:rsid w:val="005E38D0"/>
    <w:rsid w:val="005E41D0"/>
    <w:rsid w:val="005E620E"/>
    <w:rsid w:val="005F2C6E"/>
    <w:rsid w:val="005F32FC"/>
    <w:rsid w:val="005F5737"/>
    <w:rsid w:val="005F7081"/>
    <w:rsid w:val="0060233C"/>
    <w:rsid w:val="006062F2"/>
    <w:rsid w:val="00606A2F"/>
    <w:rsid w:val="00606AEC"/>
    <w:rsid w:val="00607D32"/>
    <w:rsid w:val="00611DE2"/>
    <w:rsid w:val="00612297"/>
    <w:rsid w:val="00617DC4"/>
    <w:rsid w:val="0062011B"/>
    <w:rsid w:val="00621E22"/>
    <w:rsid w:val="00621EAE"/>
    <w:rsid w:val="00623C8B"/>
    <w:rsid w:val="00623F3C"/>
    <w:rsid w:val="00624BE4"/>
    <w:rsid w:val="006265FC"/>
    <w:rsid w:val="00626F75"/>
    <w:rsid w:val="006333FF"/>
    <w:rsid w:val="0063494D"/>
    <w:rsid w:val="00634B7E"/>
    <w:rsid w:val="00634CAA"/>
    <w:rsid w:val="00636CFB"/>
    <w:rsid w:val="00637218"/>
    <w:rsid w:val="0064136B"/>
    <w:rsid w:val="00641FC7"/>
    <w:rsid w:val="00643C76"/>
    <w:rsid w:val="00644C74"/>
    <w:rsid w:val="0064576C"/>
    <w:rsid w:val="00645D16"/>
    <w:rsid w:val="00645E13"/>
    <w:rsid w:val="0064616A"/>
    <w:rsid w:val="00646768"/>
    <w:rsid w:val="00646C21"/>
    <w:rsid w:val="0064734C"/>
    <w:rsid w:val="00651DC8"/>
    <w:rsid w:val="00655371"/>
    <w:rsid w:val="006563BA"/>
    <w:rsid w:val="00657BAD"/>
    <w:rsid w:val="00660637"/>
    <w:rsid w:val="00661A7A"/>
    <w:rsid w:val="00661BE4"/>
    <w:rsid w:val="0066492C"/>
    <w:rsid w:val="00664A4A"/>
    <w:rsid w:val="00667644"/>
    <w:rsid w:val="00670060"/>
    <w:rsid w:val="00671E14"/>
    <w:rsid w:val="006751E8"/>
    <w:rsid w:val="006755B9"/>
    <w:rsid w:val="00677418"/>
    <w:rsid w:val="00677A62"/>
    <w:rsid w:val="00677AAE"/>
    <w:rsid w:val="00677EE9"/>
    <w:rsid w:val="006845DD"/>
    <w:rsid w:val="00684DBA"/>
    <w:rsid w:val="00686026"/>
    <w:rsid w:val="006901E2"/>
    <w:rsid w:val="00691066"/>
    <w:rsid w:val="00691299"/>
    <w:rsid w:val="00691838"/>
    <w:rsid w:val="00691880"/>
    <w:rsid w:val="00691C52"/>
    <w:rsid w:val="00693335"/>
    <w:rsid w:val="00693704"/>
    <w:rsid w:val="00694C90"/>
    <w:rsid w:val="006977EB"/>
    <w:rsid w:val="006A0589"/>
    <w:rsid w:val="006A087D"/>
    <w:rsid w:val="006A09D6"/>
    <w:rsid w:val="006A0B59"/>
    <w:rsid w:val="006A13B2"/>
    <w:rsid w:val="006A359C"/>
    <w:rsid w:val="006A3BAA"/>
    <w:rsid w:val="006A5D4C"/>
    <w:rsid w:val="006B1CA8"/>
    <w:rsid w:val="006B1CF1"/>
    <w:rsid w:val="006B1F35"/>
    <w:rsid w:val="006B4B0A"/>
    <w:rsid w:val="006B7A20"/>
    <w:rsid w:val="006C101A"/>
    <w:rsid w:val="006C25B3"/>
    <w:rsid w:val="006C27F1"/>
    <w:rsid w:val="006C36AC"/>
    <w:rsid w:val="006C4B79"/>
    <w:rsid w:val="006C5A24"/>
    <w:rsid w:val="006C6120"/>
    <w:rsid w:val="006D0B6B"/>
    <w:rsid w:val="006D272D"/>
    <w:rsid w:val="006D520F"/>
    <w:rsid w:val="006E0E49"/>
    <w:rsid w:val="006E241F"/>
    <w:rsid w:val="006E29FC"/>
    <w:rsid w:val="006E3219"/>
    <w:rsid w:val="006E46C8"/>
    <w:rsid w:val="006F0314"/>
    <w:rsid w:val="006F45EB"/>
    <w:rsid w:val="006F65A0"/>
    <w:rsid w:val="006F71B3"/>
    <w:rsid w:val="007028A9"/>
    <w:rsid w:val="00704B17"/>
    <w:rsid w:val="0070625B"/>
    <w:rsid w:val="00706C2A"/>
    <w:rsid w:val="00707106"/>
    <w:rsid w:val="00711AE0"/>
    <w:rsid w:val="00712B01"/>
    <w:rsid w:val="00712F46"/>
    <w:rsid w:val="00714C41"/>
    <w:rsid w:val="00715213"/>
    <w:rsid w:val="007155C7"/>
    <w:rsid w:val="00715CD2"/>
    <w:rsid w:val="00716952"/>
    <w:rsid w:val="0071746C"/>
    <w:rsid w:val="00720B0A"/>
    <w:rsid w:val="00722148"/>
    <w:rsid w:val="00723063"/>
    <w:rsid w:val="007235E8"/>
    <w:rsid w:val="007272D1"/>
    <w:rsid w:val="00727A62"/>
    <w:rsid w:val="00730C19"/>
    <w:rsid w:val="00730DA8"/>
    <w:rsid w:val="007312D0"/>
    <w:rsid w:val="0073473B"/>
    <w:rsid w:val="00734A0C"/>
    <w:rsid w:val="0073648A"/>
    <w:rsid w:val="00740F0E"/>
    <w:rsid w:val="00743BB9"/>
    <w:rsid w:val="007440AC"/>
    <w:rsid w:val="0074501A"/>
    <w:rsid w:val="00746CCE"/>
    <w:rsid w:val="00750F15"/>
    <w:rsid w:val="00752F00"/>
    <w:rsid w:val="00753CB6"/>
    <w:rsid w:val="00753E9D"/>
    <w:rsid w:val="00760265"/>
    <w:rsid w:val="00764623"/>
    <w:rsid w:val="0076715A"/>
    <w:rsid w:val="00767E14"/>
    <w:rsid w:val="0077044D"/>
    <w:rsid w:val="00770B39"/>
    <w:rsid w:val="007735E3"/>
    <w:rsid w:val="00774796"/>
    <w:rsid w:val="00775340"/>
    <w:rsid w:val="00775E56"/>
    <w:rsid w:val="007767D4"/>
    <w:rsid w:val="00783EED"/>
    <w:rsid w:val="00790422"/>
    <w:rsid w:val="00790BB0"/>
    <w:rsid w:val="00791B65"/>
    <w:rsid w:val="00792F87"/>
    <w:rsid w:val="00794E2A"/>
    <w:rsid w:val="00795D8B"/>
    <w:rsid w:val="007A114D"/>
    <w:rsid w:val="007A170C"/>
    <w:rsid w:val="007A3220"/>
    <w:rsid w:val="007A41AB"/>
    <w:rsid w:val="007A4E86"/>
    <w:rsid w:val="007A623C"/>
    <w:rsid w:val="007A6CA9"/>
    <w:rsid w:val="007A6CAC"/>
    <w:rsid w:val="007B0FB0"/>
    <w:rsid w:val="007B1562"/>
    <w:rsid w:val="007B38E0"/>
    <w:rsid w:val="007B4D26"/>
    <w:rsid w:val="007B4D52"/>
    <w:rsid w:val="007C1B53"/>
    <w:rsid w:val="007C1D6C"/>
    <w:rsid w:val="007C228D"/>
    <w:rsid w:val="007C3A70"/>
    <w:rsid w:val="007C4B03"/>
    <w:rsid w:val="007D3246"/>
    <w:rsid w:val="007D5CDD"/>
    <w:rsid w:val="007D5E33"/>
    <w:rsid w:val="007D63F4"/>
    <w:rsid w:val="007D7B0F"/>
    <w:rsid w:val="007D7C61"/>
    <w:rsid w:val="007E0AF6"/>
    <w:rsid w:val="007E3419"/>
    <w:rsid w:val="007E725A"/>
    <w:rsid w:val="007F041A"/>
    <w:rsid w:val="007F08EA"/>
    <w:rsid w:val="007F151F"/>
    <w:rsid w:val="007F6394"/>
    <w:rsid w:val="007F75C4"/>
    <w:rsid w:val="00801793"/>
    <w:rsid w:val="00802195"/>
    <w:rsid w:val="008028E3"/>
    <w:rsid w:val="00804ABC"/>
    <w:rsid w:val="00806D26"/>
    <w:rsid w:val="0081359E"/>
    <w:rsid w:val="00821F1C"/>
    <w:rsid w:val="00823CFC"/>
    <w:rsid w:val="0082454A"/>
    <w:rsid w:val="0082559C"/>
    <w:rsid w:val="008316FE"/>
    <w:rsid w:val="00834483"/>
    <w:rsid w:val="008362F0"/>
    <w:rsid w:val="00840CC7"/>
    <w:rsid w:val="008411BE"/>
    <w:rsid w:val="00841794"/>
    <w:rsid w:val="00841EDF"/>
    <w:rsid w:val="008456C1"/>
    <w:rsid w:val="00845FB9"/>
    <w:rsid w:val="008460A8"/>
    <w:rsid w:val="00847F59"/>
    <w:rsid w:val="0085210C"/>
    <w:rsid w:val="00853230"/>
    <w:rsid w:val="00853ABF"/>
    <w:rsid w:val="00853F3D"/>
    <w:rsid w:val="00857BD8"/>
    <w:rsid w:val="008605F2"/>
    <w:rsid w:val="00863E15"/>
    <w:rsid w:val="00863FAE"/>
    <w:rsid w:val="00865FED"/>
    <w:rsid w:val="00874026"/>
    <w:rsid w:val="00874911"/>
    <w:rsid w:val="00874C93"/>
    <w:rsid w:val="008759B3"/>
    <w:rsid w:val="008816BD"/>
    <w:rsid w:val="00883B5C"/>
    <w:rsid w:val="00884DA6"/>
    <w:rsid w:val="00886A43"/>
    <w:rsid w:val="0088706D"/>
    <w:rsid w:val="008878E2"/>
    <w:rsid w:val="00891364"/>
    <w:rsid w:val="008936A7"/>
    <w:rsid w:val="00893B4A"/>
    <w:rsid w:val="00895501"/>
    <w:rsid w:val="00895FB1"/>
    <w:rsid w:val="00896C15"/>
    <w:rsid w:val="008A170F"/>
    <w:rsid w:val="008A32B3"/>
    <w:rsid w:val="008A3C33"/>
    <w:rsid w:val="008A67CA"/>
    <w:rsid w:val="008A70DF"/>
    <w:rsid w:val="008A7CAD"/>
    <w:rsid w:val="008B0ABF"/>
    <w:rsid w:val="008B2C37"/>
    <w:rsid w:val="008B2D61"/>
    <w:rsid w:val="008B3303"/>
    <w:rsid w:val="008B5293"/>
    <w:rsid w:val="008B5541"/>
    <w:rsid w:val="008B5AA2"/>
    <w:rsid w:val="008C12B8"/>
    <w:rsid w:val="008C3449"/>
    <w:rsid w:val="008D0CE6"/>
    <w:rsid w:val="008D15F8"/>
    <w:rsid w:val="008D2DE2"/>
    <w:rsid w:val="008D3E72"/>
    <w:rsid w:val="008D3FF7"/>
    <w:rsid w:val="008D44E8"/>
    <w:rsid w:val="008D5FC3"/>
    <w:rsid w:val="008E1EB5"/>
    <w:rsid w:val="008E21A3"/>
    <w:rsid w:val="008E6092"/>
    <w:rsid w:val="008E671B"/>
    <w:rsid w:val="008E701C"/>
    <w:rsid w:val="008E7D10"/>
    <w:rsid w:val="008F030D"/>
    <w:rsid w:val="008F0333"/>
    <w:rsid w:val="008F0B72"/>
    <w:rsid w:val="008F3F20"/>
    <w:rsid w:val="008F402F"/>
    <w:rsid w:val="008F56F7"/>
    <w:rsid w:val="008F7905"/>
    <w:rsid w:val="00900470"/>
    <w:rsid w:val="00900AD4"/>
    <w:rsid w:val="0090272D"/>
    <w:rsid w:val="009034F5"/>
    <w:rsid w:val="00903B44"/>
    <w:rsid w:val="00904352"/>
    <w:rsid w:val="009049E1"/>
    <w:rsid w:val="00904D8F"/>
    <w:rsid w:val="00905BA6"/>
    <w:rsid w:val="00910F39"/>
    <w:rsid w:val="00912146"/>
    <w:rsid w:val="00912CBC"/>
    <w:rsid w:val="0091659C"/>
    <w:rsid w:val="00921981"/>
    <w:rsid w:val="009221AC"/>
    <w:rsid w:val="00922282"/>
    <w:rsid w:val="00922A22"/>
    <w:rsid w:val="00922DAD"/>
    <w:rsid w:val="00922DE4"/>
    <w:rsid w:val="009231EF"/>
    <w:rsid w:val="0092775F"/>
    <w:rsid w:val="00927A6B"/>
    <w:rsid w:val="00930C4D"/>
    <w:rsid w:val="00932824"/>
    <w:rsid w:val="00932866"/>
    <w:rsid w:val="0093704A"/>
    <w:rsid w:val="00940606"/>
    <w:rsid w:val="00940C20"/>
    <w:rsid w:val="0094225B"/>
    <w:rsid w:val="00943D11"/>
    <w:rsid w:val="00946EDC"/>
    <w:rsid w:val="00947A2D"/>
    <w:rsid w:val="0095184A"/>
    <w:rsid w:val="00953F32"/>
    <w:rsid w:val="009542BF"/>
    <w:rsid w:val="0095608D"/>
    <w:rsid w:val="00956D8E"/>
    <w:rsid w:val="0096190E"/>
    <w:rsid w:val="00961A9C"/>
    <w:rsid w:val="00963393"/>
    <w:rsid w:val="00966CAE"/>
    <w:rsid w:val="00967946"/>
    <w:rsid w:val="00970561"/>
    <w:rsid w:val="0097070C"/>
    <w:rsid w:val="00970A97"/>
    <w:rsid w:val="00970E2C"/>
    <w:rsid w:val="0097547E"/>
    <w:rsid w:val="00980E1F"/>
    <w:rsid w:val="00982020"/>
    <w:rsid w:val="009843BE"/>
    <w:rsid w:val="009854A6"/>
    <w:rsid w:val="00985F18"/>
    <w:rsid w:val="00987C8C"/>
    <w:rsid w:val="0099069C"/>
    <w:rsid w:val="00990B43"/>
    <w:rsid w:val="009931C1"/>
    <w:rsid w:val="00994C9B"/>
    <w:rsid w:val="009950E6"/>
    <w:rsid w:val="009A0300"/>
    <w:rsid w:val="009A139A"/>
    <w:rsid w:val="009A14B3"/>
    <w:rsid w:val="009A298D"/>
    <w:rsid w:val="009A2DEB"/>
    <w:rsid w:val="009A3513"/>
    <w:rsid w:val="009A5DD9"/>
    <w:rsid w:val="009A5EEE"/>
    <w:rsid w:val="009B047E"/>
    <w:rsid w:val="009B2647"/>
    <w:rsid w:val="009B28F9"/>
    <w:rsid w:val="009B377E"/>
    <w:rsid w:val="009B445C"/>
    <w:rsid w:val="009B4CF9"/>
    <w:rsid w:val="009B4E37"/>
    <w:rsid w:val="009B4ED1"/>
    <w:rsid w:val="009B529E"/>
    <w:rsid w:val="009B56E1"/>
    <w:rsid w:val="009B7612"/>
    <w:rsid w:val="009B7824"/>
    <w:rsid w:val="009C062E"/>
    <w:rsid w:val="009C0D53"/>
    <w:rsid w:val="009C0DDE"/>
    <w:rsid w:val="009C11E5"/>
    <w:rsid w:val="009C2922"/>
    <w:rsid w:val="009C3364"/>
    <w:rsid w:val="009C4ACB"/>
    <w:rsid w:val="009C5A9F"/>
    <w:rsid w:val="009C66AE"/>
    <w:rsid w:val="009D1341"/>
    <w:rsid w:val="009D262A"/>
    <w:rsid w:val="009D3DD7"/>
    <w:rsid w:val="009D5279"/>
    <w:rsid w:val="009E3BA0"/>
    <w:rsid w:val="009E4ADC"/>
    <w:rsid w:val="009E5958"/>
    <w:rsid w:val="009F0700"/>
    <w:rsid w:val="009F0C66"/>
    <w:rsid w:val="009F0CC4"/>
    <w:rsid w:val="009F0D12"/>
    <w:rsid w:val="009F17E1"/>
    <w:rsid w:val="009F656D"/>
    <w:rsid w:val="009F67AA"/>
    <w:rsid w:val="009F785F"/>
    <w:rsid w:val="009F7E6B"/>
    <w:rsid w:val="009F7EB5"/>
    <w:rsid w:val="00A019F1"/>
    <w:rsid w:val="00A020AF"/>
    <w:rsid w:val="00A029B8"/>
    <w:rsid w:val="00A03CC5"/>
    <w:rsid w:val="00A04C7E"/>
    <w:rsid w:val="00A06AA5"/>
    <w:rsid w:val="00A06D67"/>
    <w:rsid w:val="00A075A7"/>
    <w:rsid w:val="00A07B03"/>
    <w:rsid w:val="00A11CAF"/>
    <w:rsid w:val="00A122CB"/>
    <w:rsid w:val="00A1266C"/>
    <w:rsid w:val="00A12B9E"/>
    <w:rsid w:val="00A13332"/>
    <w:rsid w:val="00A13AF5"/>
    <w:rsid w:val="00A13BF5"/>
    <w:rsid w:val="00A1436C"/>
    <w:rsid w:val="00A144A5"/>
    <w:rsid w:val="00A16E5F"/>
    <w:rsid w:val="00A22A25"/>
    <w:rsid w:val="00A22E67"/>
    <w:rsid w:val="00A235AF"/>
    <w:rsid w:val="00A2591E"/>
    <w:rsid w:val="00A2628F"/>
    <w:rsid w:val="00A264A3"/>
    <w:rsid w:val="00A26540"/>
    <w:rsid w:val="00A2661B"/>
    <w:rsid w:val="00A32458"/>
    <w:rsid w:val="00A36BBE"/>
    <w:rsid w:val="00A37A2C"/>
    <w:rsid w:val="00A37E24"/>
    <w:rsid w:val="00A400C8"/>
    <w:rsid w:val="00A40984"/>
    <w:rsid w:val="00A4216E"/>
    <w:rsid w:val="00A443EF"/>
    <w:rsid w:val="00A46B7F"/>
    <w:rsid w:val="00A47F0E"/>
    <w:rsid w:val="00A51C82"/>
    <w:rsid w:val="00A531D4"/>
    <w:rsid w:val="00A536D2"/>
    <w:rsid w:val="00A539CB"/>
    <w:rsid w:val="00A53DDD"/>
    <w:rsid w:val="00A54280"/>
    <w:rsid w:val="00A54850"/>
    <w:rsid w:val="00A556EA"/>
    <w:rsid w:val="00A55CEE"/>
    <w:rsid w:val="00A56D62"/>
    <w:rsid w:val="00A57AA1"/>
    <w:rsid w:val="00A57F69"/>
    <w:rsid w:val="00A63BA6"/>
    <w:rsid w:val="00A67657"/>
    <w:rsid w:val="00A70D4F"/>
    <w:rsid w:val="00A71F57"/>
    <w:rsid w:val="00A7224E"/>
    <w:rsid w:val="00A72E32"/>
    <w:rsid w:val="00A73371"/>
    <w:rsid w:val="00A74924"/>
    <w:rsid w:val="00A814AE"/>
    <w:rsid w:val="00A82C7D"/>
    <w:rsid w:val="00A82FEB"/>
    <w:rsid w:val="00A838B2"/>
    <w:rsid w:val="00A839C6"/>
    <w:rsid w:val="00A85550"/>
    <w:rsid w:val="00A8613C"/>
    <w:rsid w:val="00A8623E"/>
    <w:rsid w:val="00A863AC"/>
    <w:rsid w:val="00A8733F"/>
    <w:rsid w:val="00A87B50"/>
    <w:rsid w:val="00A92F2D"/>
    <w:rsid w:val="00A938FC"/>
    <w:rsid w:val="00A955CE"/>
    <w:rsid w:val="00A95A91"/>
    <w:rsid w:val="00A97CA5"/>
    <w:rsid w:val="00AA0327"/>
    <w:rsid w:val="00AA1628"/>
    <w:rsid w:val="00AA258A"/>
    <w:rsid w:val="00AA4E32"/>
    <w:rsid w:val="00AA5036"/>
    <w:rsid w:val="00AA5B78"/>
    <w:rsid w:val="00AA66B1"/>
    <w:rsid w:val="00AB02C8"/>
    <w:rsid w:val="00AB331B"/>
    <w:rsid w:val="00AB3960"/>
    <w:rsid w:val="00AB4096"/>
    <w:rsid w:val="00AB5EAE"/>
    <w:rsid w:val="00AB5EFD"/>
    <w:rsid w:val="00AB6D35"/>
    <w:rsid w:val="00AB7C94"/>
    <w:rsid w:val="00AC0427"/>
    <w:rsid w:val="00AC19B0"/>
    <w:rsid w:val="00AC23EF"/>
    <w:rsid w:val="00AC34B0"/>
    <w:rsid w:val="00AC396F"/>
    <w:rsid w:val="00AC3BBC"/>
    <w:rsid w:val="00AC4583"/>
    <w:rsid w:val="00AC49D8"/>
    <w:rsid w:val="00AC50DE"/>
    <w:rsid w:val="00AC5196"/>
    <w:rsid w:val="00AC52BC"/>
    <w:rsid w:val="00AC754C"/>
    <w:rsid w:val="00AC785E"/>
    <w:rsid w:val="00AD2589"/>
    <w:rsid w:val="00AD3111"/>
    <w:rsid w:val="00AE086D"/>
    <w:rsid w:val="00AE22EE"/>
    <w:rsid w:val="00AE2427"/>
    <w:rsid w:val="00AE5D7E"/>
    <w:rsid w:val="00AE67FE"/>
    <w:rsid w:val="00AF439E"/>
    <w:rsid w:val="00AF452A"/>
    <w:rsid w:val="00AF4A28"/>
    <w:rsid w:val="00AF6034"/>
    <w:rsid w:val="00AF6A08"/>
    <w:rsid w:val="00B01470"/>
    <w:rsid w:val="00B043A7"/>
    <w:rsid w:val="00B07B43"/>
    <w:rsid w:val="00B07CD5"/>
    <w:rsid w:val="00B114DF"/>
    <w:rsid w:val="00B12B69"/>
    <w:rsid w:val="00B14512"/>
    <w:rsid w:val="00B20C67"/>
    <w:rsid w:val="00B2185F"/>
    <w:rsid w:val="00B21B10"/>
    <w:rsid w:val="00B221FF"/>
    <w:rsid w:val="00B247B3"/>
    <w:rsid w:val="00B2552D"/>
    <w:rsid w:val="00B25EA8"/>
    <w:rsid w:val="00B265D2"/>
    <w:rsid w:val="00B267EE"/>
    <w:rsid w:val="00B30FFA"/>
    <w:rsid w:val="00B313F7"/>
    <w:rsid w:val="00B34CC7"/>
    <w:rsid w:val="00B35CDF"/>
    <w:rsid w:val="00B3647C"/>
    <w:rsid w:val="00B366B4"/>
    <w:rsid w:val="00B37A85"/>
    <w:rsid w:val="00B403AF"/>
    <w:rsid w:val="00B40474"/>
    <w:rsid w:val="00B40F11"/>
    <w:rsid w:val="00B411CF"/>
    <w:rsid w:val="00B42A6A"/>
    <w:rsid w:val="00B42C8E"/>
    <w:rsid w:val="00B44E32"/>
    <w:rsid w:val="00B51F41"/>
    <w:rsid w:val="00B575BC"/>
    <w:rsid w:val="00B60168"/>
    <w:rsid w:val="00B6024C"/>
    <w:rsid w:val="00B602B9"/>
    <w:rsid w:val="00B62BB4"/>
    <w:rsid w:val="00B63BBA"/>
    <w:rsid w:val="00B65071"/>
    <w:rsid w:val="00B674E9"/>
    <w:rsid w:val="00B72893"/>
    <w:rsid w:val="00B7381D"/>
    <w:rsid w:val="00B739DC"/>
    <w:rsid w:val="00B7748B"/>
    <w:rsid w:val="00B827E6"/>
    <w:rsid w:val="00B82A51"/>
    <w:rsid w:val="00B83862"/>
    <w:rsid w:val="00B85929"/>
    <w:rsid w:val="00B869F1"/>
    <w:rsid w:val="00B86D6E"/>
    <w:rsid w:val="00B91111"/>
    <w:rsid w:val="00B94090"/>
    <w:rsid w:val="00B94DB5"/>
    <w:rsid w:val="00B95D7B"/>
    <w:rsid w:val="00B97632"/>
    <w:rsid w:val="00BA13DB"/>
    <w:rsid w:val="00BA49ED"/>
    <w:rsid w:val="00BA7321"/>
    <w:rsid w:val="00BA7AA6"/>
    <w:rsid w:val="00BB2CB7"/>
    <w:rsid w:val="00BB4AA1"/>
    <w:rsid w:val="00BB74D4"/>
    <w:rsid w:val="00BC40FF"/>
    <w:rsid w:val="00BC477B"/>
    <w:rsid w:val="00BC49D4"/>
    <w:rsid w:val="00BC5158"/>
    <w:rsid w:val="00BC584B"/>
    <w:rsid w:val="00BC7FE9"/>
    <w:rsid w:val="00BD130F"/>
    <w:rsid w:val="00BD2EC2"/>
    <w:rsid w:val="00BD395D"/>
    <w:rsid w:val="00BD5C20"/>
    <w:rsid w:val="00BD743A"/>
    <w:rsid w:val="00BD7EE9"/>
    <w:rsid w:val="00BE0666"/>
    <w:rsid w:val="00BE65D3"/>
    <w:rsid w:val="00BE6B63"/>
    <w:rsid w:val="00BF0276"/>
    <w:rsid w:val="00BF0F99"/>
    <w:rsid w:val="00BF14D8"/>
    <w:rsid w:val="00BF1F51"/>
    <w:rsid w:val="00BF2FE9"/>
    <w:rsid w:val="00BF5FB4"/>
    <w:rsid w:val="00C002D1"/>
    <w:rsid w:val="00C02F3F"/>
    <w:rsid w:val="00C03D30"/>
    <w:rsid w:val="00C04D2C"/>
    <w:rsid w:val="00C061B0"/>
    <w:rsid w:val="00C069F1"/>
    <w:rsid w:val="00C06BD4"/>
    <w:rsid w:val="00C07C49"/>
    <w:rsid w:val="00C10891"/>
    <w:rsid w:val="00C12551"/>
    <w:rsid w:val="00C179B6"/>
    <w:rsid w:val="00C22672"/>
    <w:rsid w:val="00C2282F"/>
    <w:rsid w:val="00C22C6A"/>
    <w:rsid w:val="00C2311C"/>
    <w:rsid w:val="00C234BF"/>
    <w:rsid w:val="00C24D18"/>
    <w:rsid w:val="00C25E9E"/>
    <w:rsid w:val="00C276F1"/>
    <w:rsid w:val="00C2790F"/>
    <w:rsid w:val="00C3012D"/>
    <w:rsid w:val="00C31475"/>
    <w:rsid w:val="00C345E4"/>
    <w:rsid w:val="00C413FC"/>
    <w:rsid w:val="00C44A59"/>
    <w:rsid w:val="00C462CE"/>
    <w:rsid w:val="00C4675F"/>
    <w:rsid w:val="00C4787C"/>
    <w:rsid w:val="00C50D42"/>
    <w:rsid w:val="00C51622"/>
    <w:rsid w:val="00C54EFC"/>
    <w:rsid w:val="00C54F59"/>
    <w:rsid w:val="00C55319"/>
    <w:rsid w:val="00C57CE8"/>
    <w:rsid w:val="00C602AA"/>
    <w:rsid w:val="00C60881"/>
    <w:rsid w:val="00C61053"/>
    <w:rsid w:val="00C62AC5"/>
    <w:rsid w:val="00C633AF"/>
    <w:rsid w:val="00C67118"/>
    <w:rsid w:val="00C7287B"/>
    <w:rsid w:val="00C745E9"/>
    <w:rsid w:val="00C82938"/>
    <w:rsid w:val="00C84410"/>
    <w:rsid w:val="00C85C94"/>
    <w:rsid w:val="00C87002"/>
    <w:rsid w:val="00C879D5"/>
    <w:rsid w:val="00C92847"/>
    <w:rsid w:val="00C92E4F"/>
    <w:rsid w:val="00C93214"/>
    <w:rsid w:val="00C9447F"/>
    <w:rsid w:val="00C94B0E"/>
    <w:rsid w:val="00C97FAC"/>
    <w:rsid w:val="00CA0873"/>
    <w:rsid w:val="00CA4C17"/>
    <w:rsid w:val="00CA4DA1"/>
    <w:rsid w:val="00CA5C6C"/>
    <w:rsid w:val="00CB0675"/>
    <w:rsid w:val="00CB1ED5"/>
    <w:rsid w:val="00CB3F2A"/>
    <w:rsid w:val="00CB5C44"/>
    <w:rsid w:val="00CB6448"/>
    <w:rsid w:val="00CC4E28"/>
    <w:rsid w:val="00CC5964"/>
    <w:rsid w:val="00CC7EA3"/>
    <w:rsid w:val="00CD2036"/>
    <w:rsid w:val="00CD2FBE"/>
    <w:rsid w:val="00CD423B"/>
    <w:rsid w:val="00CD51FC"/>
    <w:rsid w:val="00CE0F67"/>
    <w:rsid w:val="00CE1A57"/>
    <w:rsid w:val="00CE220C"/>
    <w:rsid w:val="00CE2643"/>
    <w:rsid w:val="00CE352B"/>
    <w:rsid w:val="00CE4CA9"/>
    <w:rsid w:val="00CE640A"/>
    <w:rsid w:val="00CE68F6"/>
    <w:rsid w:val="00CE7690"/>
    <w:rsid w:val="00CE7879"/>
    <w:rsid w:val="00CF1C82"/>
    <w:rsid w:val="00CF222F"/>
    <w:rsid w:val="00CF29B7"/>
    <w:rsid w:val="00CF3788"/>
    <w:rsid w:val="00CF3BC3"/>
    <w:rsid w:val="00CF4A5F"/>
    <w:rsid w:val="00CF56F4"/>
    <w:rsid w:val="00CF581D"/>
    <w:rsid w:val="00CF5A80"/>
    <w:rsid w:val="00CF5C31"/>
    <w:rsid w:val="00CF66DF"/>
    <w:rsid w:val="00CF67BF"/>
    <w:rsid w:val="00CF6C9C"/>
    <w:rsid w:val="00CF6EA8"/>
    <w:rsid w:val="00CF78FB"/>
    <w:rsid w:val="00D0046B"/>
    <w:rsid w:val="00D008A9"/>
    <w:rsid w:val="00D017FC"/>
    <w:rsid w:val="00D025EE"/>
    <w:rsid w:val="00D02A42"/>
    <w:rsid w:val="00D02B43"/>
    <w:rsid w:val="00D02DC6"/>
    <w:rsid w:val="00D02E6F"/>
    <w:rsid w:val="00D07A3B"/>
    <w:rsid w:val="00D07DB3"/>
    <w:rsid w:val="00D11509"/>
    <w:rsid w:val="00D119A2"/>
    <w:rsid w:val="00D141E6"/>
    <w:rsid w:val="00D144C9"/>
    <w:rsid w:val="00D16FA4"/>
    <w:rsid w:val="00D20914"/>
    <w:rsid w:val="00D2224C"/>
    <w:rsid w:val="00D2343E"/>
    <w:rsid w:val="00D237EF"/>
    <w:rsid w:val="00D24389"/>
    <w:rsid w:val="00D24483"/>
    <w:rsid w:val="00D24B20"/>
    <w:rsid w:val="00D279DB"/>
    <w:rsid w:val="00D31672"/>
    <w:rsid w:val="00D338B2"/>
    <w:rsid w:val="00D35C18"/>
    <w:rsid w:val="00D36037"/>
    <w:rsid w:val="00D379D8"/>
    <w:rsid w:val="00D37D38"/>
    <w:rsid w:val="00D439C3"/>
    <w:rsid w:val="00D44149"/>
    <w:rsid w:val="00D443AF"/>
    <w:rsid w:val="00D45586"/>
    <w:rsid w:val="00D515BA"/>
    <w:rsid w:val="00D52112"/>
    <w:rsid w:val="00D52F41"/>
    <w:rsid w:val="00D53963"/>
    <w:rsid w:val="00D53C56"/>
    <w:rsid w:val="00D53FA5"/>
    <w:rsid w:val="00D54403"/>
    <w:rsid w:val="00D57A0C"/>
    <w:rsid w:val="00D6081C"/>
    <w:rsid w:val="00D60851"/>
    <w:rsid w:val="00D65D23"/>
    <w:rsid w:val="00D670E8"/>
    <w:rsid w:val="00D71FC8"/>
    <w:rsid w:val="00D73655"/>
    <w:rsid w:val="00D76A32"/>
    <w:rsid w:val="00D80007"/>
    <w:rsid w:val="00D840E8"/>
    <w:rsid w:val="00D86EF2"/>
    <w:rsid w:val="00D87923"/>
    <w:rsid w:val="00D90048"/>
    <w:rsid w:val="00D90BAA"/>
    <w:rsid w:val="00D928E9"/>
    <w:rsid w:val="00D94FBA"/>
    <w:rsid w:val="00DA10A2"/>
    <w:rsid w:val="00DA16FC"/>
    <w:rsid w:val="00DA2133"/>
    <w:rsid w:val="00DA42B7"/>
    <w:rsid w:val="00DA715E"/>
    <w:rsid w:val="00DB179D"/>
    <w:rsid w:val="00DB1853"/>
    <w:rsid w:val="00DB2892"/>
    <w:rsid w:val="00DB3D07"/>
    <w:rsid w:val="00DB67E6"/>
    <w:rsid w:val="00DB6879"/>
    <w:rsid w:val="00DB7274"/>
    <w:rsid w:val="00DB733A"/>
    <w:rsid w:val="00DB7A9C"/>
    <w:rsid w:val="00DC18CA"/>
    <w:rsid w:val="00DC3300"/>
    <w:rsid w:val="00DC58DA"/>
    <w:rsid w:val="00DC6435"/>
    <w:rsid w:val="00DD0A04"/>
    <w:rsid w:val="00DD1AA1"/>
    <w:rsid w:val="00DD20A7"/>
    <w:rsid w:val="00DD5E81"/>
    <w:rsid w:val="00DD6481"/>
    <w:rsid w:val="00DD73CA"/>
    <w:rsid w:val="00DE4FFE"/>
    <w:rsid w:val="00DE6124"/>
    <w:rsid w:val="00DE6DB7"/>
    <w:rsid w:val="00DE703B"/>
    <w:rsid w:val="00DE71AA"/>
    <w:rsid w:val="00DE7F33"/>
    <w:rsid w:val="00DF2E92"/>
    <w:rsid w:val="00DF3456"/>
    <w:rsid w:val="00DF4627"/>
    <w:rsid w:val="00DF47AF"/>
    <w:rsid w:val="00DF7029"/>
    <w:rsid w:val="00E00F49"/>
    <w:rsid w:val="00E01641"/>
    <w:rsid w:val="00E040D6"/>
    <w:rsid w:val="00E041E0"/>
    <w:rsid w:val="00E04262"/>
    <w:rsid w:val="00E0428A"/>
    <w:rsid w:val="00E048D1"/>
    <w:rsid w:val="00E04A22"/>
    <w:rsid w:val="00E053D6"/>
    <w:rsid w:val="00E10247"/>
    <w:rsid w:val="00E10340"/>
    <w:rsid w:val="00E122E1"/>
    <w:rsid w:val="00E13BBD"/>
    <w:rsid w:val="00E1468F"/>
    <w:rsid w:val="00E152CC"/>
    <w:rsid w:val="00E1644E"/>
    <w:rsid w:val="00E17DE9"/>
    <w:rsid w:val="00E2028F"/>
    <w:rsid w:val="00E20A17"/>
    <w:rsid w:val="00E20E09"/>
    <w:rsid w:val="00E227E8"/>
    <w:rsid w:val="00E22AD0"/>
    <w:rsid w:val="00E263D6"/>
    <w:rsid w:val="00E277BC"/>
    <w:rsid w:val="00E27D3F"/>
    <w:rsid w:val="00E32361"/>
    <w:rsid w:val="00E32A2E"/>
    <w:rsid w:val="00E35825"/>
    <w:rsid w:val="00E35C5D"/>
    <w:rsid w:val="00E37B14"/>
    <w:rsid w:val="00E37BEE"/>
    <w:rsid w:val="00E37EDB"/>
    <w:rsid w:val="00E41AD1"/>
    <w:rsid w:val="00E44D74"/>
    <w:rsid w:val="00E461D4"/>
    <w:rsid w:val="00E501E0"/>
    <w:rsid w:val="00E51060"/>
    <w:rsid w:val="00E511AA"/>
    <w:rsid w:val="00E529E9"/>
    <w:rsid w:val="00E5328D"/>
    <w:rsid w:val="00E5331B"/>
    <w:rsid w:val="00E536C2"/>
    <w:rsid w:val="00E55806"/>
    <w:rsid w:val="00E561BD"/>
    <w:rsid w:val="00E674E2"/>
    <w:rsid w:val="00E73123"/>
    <w:rsid w:val="00E73253"/>
    <w:rsid w:val="00E7380D"/>
    <w:rsid w:val="00E7593F"/>
    <w:rsid w:val="00E76013"/>
    <w:rsid w:val="00E8011E"/>
    <w:rsid w:val="00E80783"/>
    <w:rsid w:val="00E80B80"/>
    <w:rsid w:val="00E817FE"/>
    <w:rsid w:val="00E81CA6"/>
    <w:rsid w:val="00E82164"/>
    <w:rsid w:val="00E86DC2"/>
    <w:rsid w:val="00E86DFA"/>
    <w:rsid w:val="00E8748D"/>
    <w:rsid w:val="00E87EC9"/>
    <w:rsid w:val="00E900E1"/>
    <w:rsid w:val="00E9139F"/>
    <w:rsid w:val="00E9153A"/>
    <w:rsid w:val="00E91E8F"/>
    <w:rsid w:val="00E93BC6"/>
    <w:rsid w:val="00E96436"/>
    <w:rsid w:val="00EA10A0"/>
    <w:rsid w:val="00EA110F"/>
    <w:rsid w:val="00EA3A7F"/>
    <w:rsid w:val="00EA5A43"/>
    <w:rsid w:val="00EA6198"/>
    <w:rsid w:val="00EA6C10"/>
    <w:rsid w:val="00EA6FF3"/>
    <w:rsid w:val="00EA7A26"/>
    <w:rsid w:val="00EB079D"/>
    <w:rsid w:val="00EB0DA4"/>
    <w:rsid w:val="00EB26B1"/>
    <w:rsid w:val="00EB4AB9"/>
    <w:rsid w:val="00EC26B1"/>
    <w:rsid w:val="00EC2ECC"/>
    <w:rsid w:val="00EC368E"/>
    <w:rsid w:val="00EC51F2"/>
    <w:rsid w:val="00EC5894"/>
    <w:rsid w:val="00EC59D5"/>
    <w:rsid w:val="00EC6095"/>
    <w:rsid w:val="00EC64C3"/>
    <w:rsid w:val="00EC6D38"/>
    <w:rsid w:val="00EC706E"/>
    <w:rsid w:val="00EC7F15"/>
    <w:rsid w:val="00ED0300"/>
    <w:rsid w:val="00ED0AEA"/>
    <w:rsid w:val="00ED14C9"/>
    <w:rsid w:val="00ED2633"/>
    <w:rsid w:val="00ED2B55"/>
    <w:rsid w:val="00ED338B"/>
    <w:rsid w:val="00ED3D9C"/>
    <w:rsid w:val="00ED684C"/>
    <w:rsid w:val="00EE3593"/>
    <w:rsid w:val="00EE442E"/>
    <w:rsid w:val="00EE4E59"/>
    <w:rsid w:val="00EE5365"/>
    <w:rsid w:val="00EE541B"/>
    <w:rsid w:val="00EE6449"/>
    <w:rsid w:val="00EE6F2A"/>
    <w:rsid w:val="00EF00A3"/>
    <w:rsid w:val="00EF1A70"/>
    <w:rsid w:val="00EF2B20"/>
    <w:rsid w:val="00EF32AA"/>
    <w:rsid w:val="00EF39D3"/>
    <w:rsid w:val="00EF3F66"/>
    <w:rsid w:val="00EF589E"/>
    <w:rsid w:val="00EF5AD9"/>
    <w:rsid w:val="00F011D6"/>
    <w:rsid w:val="00F018BB"/>
    <w:rsid w:val="00F02332"/>
    <w:rsid w:val="00F02409"/>
    <w:rsid w:val="00F04FD1"/>
    <w:rsid w:val="00F0721F"/>
    <w:rsid w:val="00F144EF"/>
    <w:rsid w:val="00F16FEA"/>
    <w:rsid w:val="00F1763E"/>
    <w:rsid w:val="00F21623"/>
    <w:rsid w:val="00F21F04"/>
    <w:rsid w:val="00F244F3"/>
    <w:rsid w:val="00F302AD"/>
    <w:rsid w:val="00F320CD"/>
    <w:rsid w:val="00F322BC"/>
    <w:rsid w:val="00F33D88"/>
    <w:rsid w:val="00F33DDD"/>
    <w:rsid w:val="00F35C34"/>
    <w:rsid w:val="00F366BA"/>
    <w:rsid w:val="00F3682F"/>
    <w:rsid w:val="00F423EB"/>
    <w:rsid w:val="00F52CAF"/>
    <w:rsid w:val="00F53372"/>
    <w:rsid w:val="00F53EBA"/>
    <w:rsid w:val="00F544F3"/>
    <w:rsid w:val="00F549D1"/>
    <w:rsid w:val="00F55704"/>
    <w:rsid w:val="00F56A9F"/>
    <w:rsid w:val="00F56FD2"/>
    <w:rsid w:val="00F60992"/>
    <w:rsid w:val="00F6105A"/>
    <w:rsid w:val="00F61D50"/>
    <w:rsid w:val="00F66377"/>
    <w:rsid w:val="00F671A3"/>
    <w:rsid w:val="00F67ADB"/>
    <w:rsid w:val="00F72378"/>
    <w:rsid w:val="00F7336C"/>
    <w:rsid w:val="00F76163"/>
    <w:rsid w:val="00F76294"/>
    <w:rsid w:val="00F76740"/>
    <w:rsid w:val="00F7734C"/>
    <w:rsid w:val="00F7739B"/>
    <w:rsid w:val="00F83DE1"/>
    <w:rsid w:val="00F85737"/>
    <w:rsid w:val="00F85970"/>
    <w:rsid w:val="00F87AD3"/>
    <w:rsid w:val="00F9038B"/>
    <w:rsid w:val="00F91A41"/>
    <w:rsid w:val="00F91BA9"/>
    <w:rsid w:val="00F93AF6"/>
    <w:rsid w:val="00F94E6B"/>
    <w:rsid w:val="00F9753A"/>
    <w:rsid w:val="00FA1293"/>
    <w:rsid w:val="00FA187C"/>
    <w:rsid w:val="00FA3CB9"/>
    <w:rsid w:val="00FA48F6"/>
    <w:rsid w:val="00FA54A9"/>
    <w:rsid w:val="00FA64C9"/>
    <w:rsid w:val="00FA6C27"/>
    <w:rsid w:val="00FB03EF"/>
    <w:rsid w:val="00FB0807"/>
    <w:rsid w:val="00FB14E0"/>
    <w:rsid w:val="00FB194F"/>
    <w:rsid w:val="00FB1DA9"/>
    <w:rsid w:val="00FB277C"/>
    <w:rsid w:val="00FB3FB2"/>
    <w:rsid w:val="00FB43EB"/>
    <w:rsid w:val="00FB620A"/>
    <w:rsid w:val="00FB706D"/>
    <w:rsid w:val="00FC0886"/>
    <w:rsid w:val="00FC1DC4"/>
    <w:rsid w:val="00FC38F6"/>
    <w:rsid w:val="00FC3EF6"/>
    <w:rsid w:val="00FC4199"/>
    <w:rsid w:val="00FC6B4B"/>
    <w:rsid w:val="00FC717F"/>
    <w:rsid w:val="00FC7659"/>
    <w:rsid w:val="00FC77DE"/>
    <w:rsid w:val="00FD007E"/>
    <w:rsid w:val="00FD01F0"/>
    <w:rsid w:val="00FD03EE"/>
    <w:rsid w:val="00FD4342"/>
    <w:rsid w:val="00FD58CE"/>
    <w:rsid w:val="00FD6C17"/>
    <w:rsid w:val="00FD7024"/>
    <w:rsid w:val="00FE0059"/>
    <w:rsid w:val="00FE0393"/>
    <w:rsid w:val="00FE07D1"/>
    <w:rsid w:val="00FE3069"/>
    <w:rsid w:val="00FE4279"/>
    <w:rsid w:val="00FF12C0"/>
    <w:rsid w:val="00FF2BCF"/>
    <w:rsid w:val="00FF47AA"/>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092"/>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B277C"/>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B277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B277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FB277C"/>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48184355">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52658315">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1151803">
      <w:bodyDiv w:val="1"/>
      <w:marLeft w:val="0"/>
      <w:marRight w:val="0"/>
      <w:marTop w:val="0"/>
      <w:marBottom w:val="0"/>
      <w:divBdr>
        <w:top w:val="none" w:sz="0" w:space="0" w:color="auto"/>
        <w:left w:val="none" w:sz="0" w:space="0" w:color="auto"/>
        <w:bottom w:val="none" w:sz="0" w:space="0" w:color="auto"/>
        <w:right w:val="none" w:sz="0" w:space="0" w:color="auto"/>
      </w:divBdr>
      <w:divsChild>
        <w:div w:id="1022322728">
          <w:marLeft w:val="533"/>
          <w:marRight w:val="0"/>
          <w:marTop w:val="0"/>
          <w:marBottom w:val="0"/>
          <w:divBdr>
            <w:top w:val="none" w:sz="0" w:space="0" w:color="auto"/>
            <w:left w:val="none" w:sz="0" w:space="0" w:color="auto"/>
            <w:bottom w:val="none" w:sz="0" w:space="0" w:color="auto"/>
            <w:right w:val="none" w:sz="0" w:space="0" w:color="auto"/>
          </w:divBdr>
        </w:div>
        <w:div w:id="295835972">
          <w:marLeft w:val="806"/>
          <w:marRight w:val="0"/>
          <w:marTop w:val="0"/>
          <w:marBottom w:val="0"/>
          <w:divBdr>
            <w:top w:val="none" w:sz="0" w:space="0" w:color="auto"/>
            <w:left w:val="none" w:sz="0" w:space="0" w:color="auto"/>
            <w:bottom w:val="none" w:sz="0" w:space="0" w:color="auto"/>
            <w:right w:val="none" w:sz="0" w:space="0" w:color="auto"/>
          </w:divBdr>
        </w:div>
        <w:div w:id="64380059">
          <w:marLeft w:val="806"/>
          <w:marRight w:val="0"/>
          <w:marTop w:val="0"/>
          <w:marBottom w:val="0"/>
          <w:divBdr>
            <w:top w:val="none" w:sz="0" w:space="0" w:color="auto"/>
            <w:left w:val="none" w:sz="0" w:space="0" w:color="auto"/>
            <w:bottom w:val="none" w:sz="0" w:space="0" w:color="auto"/>
            <w:right w:val="none" w:sz="0" w:space="0" w:color="auto"/>
          </w:divBdr>
        </w:div>
        <w:div w:id="388920567">
          <w:marLeft w:val="806"/>
          <w:marRight w:val="0"/>
          <w:marTop w:val="0"/>
          <w:marBottom w:val="0"/>
          <w:divBdr>
            <w:top w:val="none" w:sz="0" w:space="0" w:color="auto"/>
            <w:left w:val="none" w:sz="0" w:space="0" w:color="auto"/>
            <w:bottom w:val="none" w:sz="0" w:space="0" w:color="auto"/>
            <w:right w:val="none" w:sz="0" w:space="0" w:color="auto"/>
          </w:divBdr>
        </w:div>
        <w:div w:id="812915449">
          <w:marLeft w:val="533"/>
          <w:marRight w:val="0"/>
          <w:marTop w:val="0"/>
          <w:marBottom w:val="0"/>
          <w:divBdr>
            <w:top w:val="none" w:sz="0" w:space="0" w:color="auto"/>
            <w:left w:val="none" w:sz="0" w:space="0" w:color="auto"/>
            <w:bottom w:val="none" w:sz="0" w:space="0" w:color="auto"/>
            <w:right w:val="none" w:sz="0" w:space="0" w:color="auto"/>
          </w:divBdr>
        </w:div>
        <w:div w:id="724067921">
          <w:marLeft w:val="806"/>
          <w:marRight w:val="0"/>
          <w:marTop w:val="0"/>
          <w:marBottom w:val="0"/>
          <w:divBdr>
            <w:top w:val="none" w:sz="0" w:space="0" w:color="auto"/>
            <w:left w:val="none" w:sz="0" w:space="0" w:color="auto"/>
            <w:bottom w:val="none" w:sz="0" w:space="0" w:color="auto"/>
            <w:right w:val="none" w:sz="0" w:space="0" w:color="auto"/>
          </w:divBdr>
        </w:div>
        <w:div w:id="2028485749">
          <w:marLeft w:val="533"/>
          <w:marRight w:val="0"/>
          <w:marTop w:val="0"/>
          <w:marBottom w:val="0"/>
          <w:divBdr>
            <w:top w:val="none" w:sz="0" w:space="0" w:color="auto"/>
            <w:left w:val="none" w:sz="0" w:space="0" w:color="auto"/>
            <w:bottom w:val="none" w:sz="0" w:space="0" w:color="auto"/>
            <w:right w:val="none" w:sz="0" w:space="0" w:color="auto"/>
          </w:divBdr>
        </w:div>
      </w:divsChild>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CC5AC-C4AF-44AE-9E00-EF5E5377B48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824</TotalTime>
  <Pages>4</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Pierpaolo Vallese</cp:lastModifiedBy>
  <cp:revision>420</cp:revision>
  <dcterms:created xsi:type="dcterms:W3CDTF">2022-04-25T17:38:00Z</dcterms:created>
  <dcterms:modified xsi:type="dcterms:W3CDTF">2023-08-11T15:30:00Z</dcterms:modified>
</cp:coreProperties>
</file>